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4"/>
        <w:gridCol w:w="5116"/>
      </w:tblGrid>
      <w:tr w:rsidR="00814346" w:rsidRPr="00981701" w14:paraId="4B4FA2D6" w14:textId="77777777" w:rsidTr="00CA0889">
        <w:trPr>
          <w:trHeight w:val="398"/>
        </w:trPr>
        <w:tc>
          <w:tcPr>
            <w:tcW w:w="9214" w:type="dxa"/>
            <w:gridSpan w:val="2"/>
          </w:tcPr>
          <w:p w14:paraId="7DE813E1" w14:textId="77777777" w:rsidR="00814346" w:rsidRPr="003D55D7" w:rsidRDefault="00814346" w:rsidP="00CA0889">
            <w:pPr>
              <w:spacing w:after="160" w:line="259" w:lineRule="auto"/>
              <w:ind w:left="107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3D55D7">
              <w:rPr>
                <w:rFonts w:eastAsia="Calibri" w:cstheme="minorHAnsi"/>
                <w:b/>
                <w:sz w:val="16"/>
                <w:szCs w:val="16"/>
              </w:rPr>
              <w:t xml:space="preserve">Informačný list predmetu </w:t>
            </w:r>
          </w:p>
        </w:tc>
      </w:tr>
      <w:tr w:rsidR="00814346" w:rsidRPr="00981701" w14:paraId="70CFA747" w14:textId="77777777" w:rsidTr="00CA0889">
        <w:trPr>
          <w:trHeight w:val="398"/>
        </w:trPr>
        <w:tc>
          <w:tcPr>
            <w:tcW w:w="9214" w:type="dxa"/>
            <w:gridSpan w:val="2"/>
          </w:tcPr>
          <w:p w14:paraId="4926CE93" w14:textId="77777777" w:rsidR="00814346" w:rsidRPr="003D55D7" w:rsidRDefault="00814346" w:rsidP="00CA0889">
            <w:pPr>
              <w:spacing w:after="160" w:line="259" w:lineRule="auto"/>
              <w:ind w:left="107"/>
              <w:rPr>
                <w:rFonts w:eastAsia="Calibri" w:cstheme="minorHAnsi"/>
                <w:sz w:val="16"/>
                <w:szCs w:val="16"/>
              </w:rPr>
            </w:pPr>
            <w:r w:rsidRPr="003D55D7">
              <w:rPr>
                <w:rFonts w:eastAsia="Calibri" w:cstheme="minorHAnsi"/>
                <w:b/>
                <w:sz w:val="16"/>
                <w:szCs w:val="16"/>
              </w:rPr>
              <w:t>Vysoká</w:t>
            </w:r>
            <w:r w:rsidRPr="003D55D7">
              <w:rPr>
                <w:rFonts w:eastAsia="Calibr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3D55D7">
              <w:rPr>
                <w:rFonts w:eastAsia="Calibri" w:cstheme="minorHAnsi"/>
                <w:b/>
                <w:sz w:val="16"/>
                <w:szCs w:val="16"/>
              </w:rPr>
              <w:t>škola:</w:t>
            </w:r>
            <w:r w:rsidRPr="003D55D7">
              <w:rPr>
                <w:rFonts w:eastAsia="Calibr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3D55D7">
              <w:rPr>
                <w:rFonts w:eastAsia="Calibri" w:cstheme="minorHAnsi"/>
                <w:sz w:val="16"/>
                <w:szCs w:val="16"/>
              </w:rPr>
              <w:t>Vysoká</w:t>
            </w:r>
            <w:r w:rsidRPr="003D55D7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3D55D7">
              <w:rPr>
                <w:rFonts w:eastAsia="Calibri" w:cstheme="minorHAnsi"/>
                <w:sz w:val="16"/>
                <w:szCs w:val="16"/>
              </w:rPr>
              <w:t>škola</w:t>
            </w:r>
            <w:r w:rsidRPr="003D55D7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r w:rsidRPr="003D55D7">
              <w:rPr>
                <w:rFonts w:eastAsia="Calibri" w:cstheme="minorHAnsi"/>
                <w:sz w:val="16"/>
                <w:szCs w:val="16"/>
              </w:rPr>
              <w:t>zdravotníctva</w:t>
            </w:r>
            <w:r w:rsidRPr="003D55D7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3D55D7">
              <w:rPr>
                <w:rFonts w:eastAsia="Calibri" w:cstheme="minorHAnsi"/>
                <w:sz w:val="16"/>
                <w:szCs w:val="16"/>
              </w:rPr>
              <w:t>a</w:t>
            </w:r>
            <w:r w:rsidRPr="003D55D7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3D55D7">
              <w:rPr>
                <w:rFonts w:eastAsia="Calibri" w:cstheme="minorHAnsi"/>
                <w:sz w:val="16"/>
                <w:szCs w:val="16"/>
              </w:rPr>
              <w:t>sociálnej</w:t>
            </w:r>
            <w:r w:rsidRPr="003D55D7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r w:rsidRPr="003D55D7">
              <w:rPr>
                <w:rFonts w:eastAsia="Calibri" w:cstheme="minorHAnsi"/>
                <w:sz w:val="16"/>
                <w:szCs w:val="16"/>
              </w:rPr>
              <w:t>práce</w:t>
            </w:r>
            <w:r w:rsidRPr="003D55D7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3D55D7">
              <w:rPr>
                <w:rFonts w:eastAsia="Calibri" w:cstheme="minorHAnsi"/>
                <w:sz w:val="16"/>
                <w:szCs w:val="16"/>
              </w:rPr>
              <w:t>sv.</w:t>
            </w:r>
            <w:r w:rsidRPr="003D55D7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3D55D7">
              <w:rPr>
                <w:rFonts w:eastAsia="Calibri" w:cstheme="minorHAnsi"/>
                <w:sz w:val="16"/>
                <w:szCs w:val="16"/>
              </w:rPr>
              <w:t>Alžbety</w:t>
            </w:r>
            <w:r w:rsidRPr="003D55D7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3D55D7">
              <w:rPr>
                <w:rFonts w:eastAsia="Calibri" w:cstheme="minorHAnsi"/>
                <w:sz w:val="16"/>
                <w:szCs w:val="16"/>
              </w:rPr>
              <w:t>v</w:t>
            </w:r>
            <w:r w:rsidRPr="003D55D7">
              <w:rPr>
                <w:rFonts w:eastAsia="Calibri" w:cstheme="minorHAnsi"/>
                <w:spacing w:val="-2"/>
                <w:sz w:val="16"/>
                <w:szCs w:val="16"/>
              </w:rPr>
              <w:t> </w:t>
            </w:r>
            <w:r w:rsidRPr="003D55D7">
              <w:rPr>
                <w:rFonts w:eastAsia="Calibri" w:cstheme="minorHAnsi"/>
                <w:sz w:val="16"/>
                <w:szCs w:val="16"/>
              </w:rPr>
              <w:t>Bratislave</w:t>
            </w:r>
          </w:p>
        </w:tc>
      </w:tr>
      <w:tr w:rsidR="00814346" w:rsidRPr="00981701" w14:paraId="6FE017EA" w14:textId="77777777" w:rsidTr="00CA0889">
        <w:trPr>
          <w:trHeight w:val="395"/>
        </w:trPr>
        <w:tc>
          <w:tcPr>
            <w:tcW w:w="9214" w:type="dxa"/>
            <w:gridSpan w:val="2"/>
          </w:tcPr>
          <w:p w14:paraId="695152BD" w14:textId="77777777" w:rsidR="00814346" w:rsidRPr="003D55D7" w:rsidRDefault="00814346" w:rsidP="00CA0889">
            <w:pPr>
              <w:spacing w:after="160" w:line="259" w:lineRule="auto"/>
              <w:ind w:left="107"/>
              <w:rPr>
                <w:rFonts w:eastAsia="Calibri" w:cstheme="minorHAnsi"/>
                <w:sz w:val="16"/>
                <w:szCs w:val="16"/>
              </w:rPr>
            </w:pPr>
            <w:r w:rsidRPr="003D55D7">
              <w:rPr>
                <w:rFonts w:eastAsia="Calibri" w:cstheme="minorHAnsi"/>
                <w:b/>
                <w:sz w:val="16"/>
                <w:szCs w:val="16"/>
              </w:rPr>
              <w:t xml:space="preserve">Pracovisko: </w:t>
            </w:r>
            <w:r w:rsidRPr="003D55D7">
              <w:rPr>
                <w:rFonts w:eastAsia="Calibri" w:cstheme="minorHAnsi"/>
                <w:bCs/>
                <w:sz w:val="16"/>
                <w:szCs w:val="16"/>
              </w:rPr>
              <w:t>Katedra psychológie, Bratislava</w:t>
            </w:r>
            <w:r w:rsidRPr="003D55D7">
              <w:rPr>
                <w:rFonts w:eastAsia="Calibri" w:cstheme="minorHAnsi"/>
                <w:b/>
                <w:sz w:val="16"/>
                <w:szCs w:val="16"/>
              </w:rPr>
              <w:t xml:space="preserve">  </w:t>
            </w:r>
          </w:p>
        </w:tc>
      </w:tr>
      <w:tr w:rsidR="00814346" w:rsidRPr="00981701" w14:paraId="6894C689" w14:textId="77777777" w:rsidTr="00CA0889">
        <w:trPr>
          <w:trHeight w:val="397"/>
        </w:trPr>
        <w:tc>
          <w:tcPr>
            <w:tcW w:w="4172" w:type="dxa"/>
          </w:tcPr>
          <w:p w14:paraId="0302647F" w14:textId="77777777" w:rsidR="00814346" w:rsidRPr="003D55D7" w:rsidRDefault="00814346" w:rsidP="00CA0889">
            <w:pPr>
              <w:spacing w:after="160" w:line="259" w:lineRule="auto"/>
              <w:ind w:left="107"/>
              <w:rPr>
                <w:rFonts w:eastAsia="Calibri" w:cstheme="minorHAnsi"/>
                <w:sz w:val="16"/>
                <w:szCs w:val="16"/>
              </w:rPr>
            </w:pPr>
            <w:r w:rsidRPr="003D55D7">
              <w:rPr>
                <w:rFonts w:eastAsia="Calibri" w:cstheme="minorHAnsi"/>
                <w:b/>
                <w:sz w:val="16"/>
                <w:szCs w:val="16"/>
              </w:rPr>
              <w:t>Kód</w:t>
            </w:r>
            <w:r w:rsidRPr="003D55D7">
              <w:rPr>
                <w:rFonts w:eastAsia="Calibr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3D55D7">
              <w:rPr>
                <w:rFonts w:eastAsia="Calibri" w:cstheme="minorHAnsi"/>
                <w:b/>
                <w:sz w:val="16"/>
                <w:szCs w:val="16"/>
              </w:rPr>
              <w:t>predmetu:</w:t>
            </w:r>
            <w:r w:rsidRPr="003D55D7">
              <w:rPr>
                <w:rFonts w:eastAsia="Calibr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3D55D7">
              <w:rPr>
                <w:rFonts w:eastAsia="Calibri" w:cstheme="minorHAnsi"/>
                <w:sz w:val="16"/>
                <w:szCs w:val="16"/>
              </w:rPr>
              <w:t>0-1927d</w:t>
            </w:r>
          </w:p>
        </w:tc>
        <w:tc>
          <w:tcPr>
            <w:tcW w:w="5042" w:type="dxa"/>
          </w:tcPr>
          <w:p w14:paraId="0DD6129D" w14:textId="77777777" w:rsidR="00814346" w:rsidRPr="003D55D7" w:rsidRDefault="00814346" w:rsidP="00CA0889">
            <w:pPr>
              <w:spacing w:after="160" w:line="259" w:lineRule="auto"/>
              <w:ind w:left="108"/>
              <w:rPr>
                <w:rFonts w:eastAsia="Calibri" w:cstheme="minorHAnsi"/>
                <w:b/>
                <w:sz w:val="16"/>
                <w:szCs w:val="16"/>
              </w:rPr>
            </w:pPr>
            <w:r w:rsidRPr="003D55D7">
              <w:rPr>
                <w:rFonts w:eastAsia="Calibri" w:cstheme="minorHAnsi"/>
                <w:b/>
                <w:sz w:val="16"/>
                <w:szCs w:val="16"/>
              </w:rPr>
              <w:t>Názov</w:t>
            </w:r>
            <w:r w:rsidRPr="003D55D7">
              <w:rPr>
                <w:rFonts w:eastAsia="Calibr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3D55D7">
              <w:rPr>
                <w:rFonts w:eastAsia="Calibri" w:cstheme="minorHAnsi"/>
                <w:b/>
                <w:sz w:val="16"/>
                <w:szCs w:val="16"/>
              </w:rPr>
              <w:t xml:space="preserve">predmetu: </w:t>
            </w:r>
            <w:r w:rsidRPr="003D55D7">
              <w:rPr>
                <w:rFonts w:eastAsia="Calibri" w:cstheme="minorHAnsi"/>
                <w:sz w:val="16"/>
                <w:szCs w:val="16"/>
              </w:rPr>
              <w:t xml:space="preserve"> Psychologická diagnostika  </w:t>
            </w:r>
          </w:p>
        </w:tc>
      </w:tr>
      <w:tr w:rsidR="00814346" w:rsidRPr="00981701" w14:paraId="4E11DC11" w14:textId="77777777" w:rsidTr="00CA0889">
        <w:trPr>
          <w:trHeight w:val="470"/>
        </w:trPr>
        <w:tc>
          <w:tcPr>
            <w:tcW w:w="9214" w:type="dxa"/>
            <w:gridSpan w:val="2"/>
          </w:tcPr>
          <w:p w14:paraId="30F5B699" w14:textId="77777777" w:rsidR="00D15380" w:rsidRPr="003D55D7" w:rsidRDefault="00814346" w:rsidP="00D15380">
            <w:pPr>
              <w:spacing w:after="160" w:line="259" w:lineRule="auto"/>
              <w:ind w:left="107"/>
              <w:rPr>
                <w:rFonts w:cstheme="minorHAnsi"/>
                <w:sz w:val="16"/>
                <w:szCs w:val="16"/>
                <w:lang w:eastAsia="sk-SK"/>
              </w:rPr>
            </w:pPr>
            <w:r w:rsidRPr="003D55D7">
              <w:rPr>
                <w:rFonts w:eastAsia="Calibri" w:cstheme="minorHAnsi"/>
                <w:b/>
                <w:sz w:val="16"/>
                <w:szCs w:val="16"/>
              </w:rPr>
              <w:t>Druh,</w:t>
            </w:r>
            <w:r w:rsidRPr="003D55D7">
              <w:rPr>
                <w:rFonts w:eastAsia="Calibr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3D55D7">
              <w:rPr>
                <w:rFonts w:eastAsia="Calibri" w:cstheme="minorHAnsi"/>
                <w:b/>
                <w:sz w:val="16"/>
                <w:szCs w:val="16"/>
              </w:rPr>
              <w:t>rozsah</w:t>
            </w:r>
            <w:r w:rsidRPr="003D55D7">
              <w:rPr>
                <w:rFonts w:eastAsia="Calibr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3D55D7">
              <w:rPr>
                <w:rFonts w:eastAsia="Calibri" w:cstheme="minorHAnsi"/>
                <w:b/>
                <w:sz w:val="16"/>
                <w:szCs w:val="16"/>
              </w:rPr>
              <w:t>a</w:t>
            </w:r>
            <w:r w:rsidRPr="003D55D7">
              <w:rPr>
                <w:rFonts w:eastAsia="Calibr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3D55D7">
              <w:rPr>
                <w:rFonts w:eastAsia="Calibri" w:cstheme="minorHAnsi"/>
                <w:b/>
                <w:sz w:val="16"/>
                <w:szCs w:val="16"/>
              </w:rPr>
              <w:t>metóda</w:t>
            </w:r>
            <w:r w:rsidRPr="003D55D7">
              <w:rPr>
                <w:rFonts w:eastAsia="Calibr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3D55D7">
              <w:rPr>
                <w:rFonts w:eastAsia="Calibri" w:cstheme="minorHAnsi"/>
                <w:b/>
                <w:sz w:val="16"/>
                <w:szCs w:val="16"/>
              </w:rPr>
              <w:t>vzdelávacích</w:t>
            </w:r>
            <w:r w:rsidRPr="003D55D7">
              <w:rPr>
                <w:rFonts w:eastAsia="Calibr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3D55D7">
              <w:rPr>
                <w:rFonts w:eastAsia="Calibri" w:cstheme="minorHAnsi"/>
                <w:b/>
                <w:sz w:val="16"/>
                <w:szCs w:val="16"/>
              </w:rPr>
              <w:t>činností:</w:t>
            </w:r>
            <w:r w:rsidRPr="003D55D7">
              <w:rPr>
                <w:rFonts w:cstheme="minorHAnsi"/>
                <w:sz w:val="16"/>
                <w:szCs w:val="16"/>
                <w:lang w:eastAsia="sk-SK"/>
              </w:rPr>
              <w:t xml:space="preserve"> </w:t>
            </w:r>
          </w:p>
          <w:p w14:paraId="63C73893" w14:textId="77777777" w:rsidR="00D15380" w:rsidRPr="003D55D7" w:rsidRDefault="00D15380" w:rsidP="00D15380">
            <w:pPr>
              <w:spacing w:after="160" w:line="259" w:lineRule="auto"/>
              <w:ind w:left="107"/>
              <w:rPr>
                <w:rFonts w:cstheme="minorHAnsi"/>
                <w:sz w:val="16"/>
                <w:szCs w:val="16"/>
                <w:lang w:eastAsia="sk-SK"/>
              </w:rPr>
            </w:pPr>
            <w:r w:rsidRPr="003D55D7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 xml:space="preserve">Druh vzdelávacích činností </w:t>
            </w:r>
            <w:r w:rsidRPr="003D55D7">
              <w:rPr>
                <w:rFonts w:eastAsia="Times New Roman" w:cstheme="minorHAnsi"/>
                <w:sz w:val="16"/>
                <w:szCs w:val="16"/>
                <w:lang w:eastAsia="sk-SK"/>
              </w:rPr>
              <w:t>prednáška, seminár;</w:t>
            </w:r>
          </w:p>
          <w:p w14:paraId="4EFD5ABB" w14:textId="064F4457" w:rsidR="00D15380" w:rsidRPr="003D55D7" w:rsidRDefault="00D15380" w:rsidP="00D15380">
            <w:pPr>
              <w:spacing w:after="160" w:line="259" w:lineRule="auto"/>
              <w:ind w:left="107"/>
              <w:rPr>
                <w:rFonts w:cstheme="minorHAnsi"/>
                <w:sz w:val="16"/>
                <w:szCs w:val="16"/>
                <w:lang w:eastAsia="sk-SK"/>
              </w:rPr>
            </w:pPr>
            <w:r w:rsidRPr="003D55D7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>Rozsah vzdelávacích činností:</w:t>
            </w:r>
            <w:r w:rsidRPr="003D55D7">
              <w:rPr>
                <w:rFonts w:cstheme="minorHAnsi"/>
                <w:sz w:val="16"/>
                <w:szCs w:val="16"/>
              </w:rPr>
              <w:t xml:space="preserve"> 4 hod. / týždeň, 3 hod. prednáška + 1 hod. seminár </w:t>
            </w:r>
          </w:p>
          <w:p w14:paraId="19543214" w14:textId="61BDB281" w:rsidR="00814346" w:rsidRPr="003D55D7" w:rsidRDefault="00D15380" w:rsidP="00D15380">
            <w:pPr>
              <w:spacing w:after="160" w:line="259" w:lineRule="auto"/>
              <w:ind w:left="107"/>
              <w:rPr>
                <w:rFonts w:cstheme="minorHAnsi"/>
                <w:sz w:val="16"/>
                <w:szCs w:val="16"/>
                <w:lang w:eastAsia="sk-SK"/>
              </w:rPr>
            </w:pPr>
            <w:r w:rsidRPr="003D55D7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 xml:space="preserve">Metóda vzdelávacích činností: </w:t>
            </w:r>
            <w:r w:rsidRPr="003D55D7">
              <w:rPr>
                <w:rFonts w:eastAsia="Times New Roman" w:cstheme="minorHAnsi"/>
                <w:sz w:val="16"/>
                <w:szCs w:val="16"/>
                <w:lang w:eastAsia="sk-SK"/>
              </w:rPr>
              <w:t>prezenčná, dištančná (Webex</w:t>
            </w:r>
            <w:r w:rsidR="00706C3C">
              <w:rPr>
                <w:rFonts w:eastAsia="Times New Roman" w:cstheme="minorHAnsi"/>
                <w:sz w:val="16"/>
                <w:szCs w:val="16"/>
                <w:lang w:eastAsia="sk-SK"/>
              </w:rPr>
              <w:t>, Elix</w:t>
            </w:r>
            <w:r w:rsidRPr="003D55D7">
              <w:rPr>
                <w:rFonts w:eastAsia="Times New Roman" w:cstheme="minorHAnsi"/>
                <w:sz w:val="16"/>
                <w:szCs w:val="16"/>
                <w:lang w:eastAsia="sk-SK"/>
              </w:rPr>
              <w:t>), kombinovaná;</w:t>
            </w:r>
            <w:r w:rsidRPr="003D55D7">
              <w:rPr>
                <w:rFonts w:cstheme="minorHAnsi"/>
                <w:sz w:val="16"/>
                <w:szCs w:val="16"/>
                <w:lang w:eastAsia="sk-SK"/>
              </w:rPr>
              <w:t xml:space="preserve"> </w:t>
            </w:r>
            <w:r w:rsidR="00814346" w:rsidRPr="003D55D7">
              <w:rPr>
                <w:rFonts w:cstheme="minorHAnsi"/>
                <w:sz w:val="16"/>
                <w:szCs w:val="16"/>
              </w:rPr>
              <w:t xml:space="preserve">prednášky prezenčnou formou, semináre formou prezentácie psychologickej metódy, diskusia k práci v kolektíve, s pedagógom (48 hod.); samostatná seminar. práca a samoštúdium (77 hod.); spolu 125 hod. </w:t>
            </w:r>
          </w:p>
        </w:tc>
      </w:tr>
      <w:tr w:rsidR="00814346" w:rsidRPr="00981701" w14:paraId="591B6B09" w14:textId="77777777" w:rsidTr="00CA0889">
        <w:trPr>
          <w:trHeight w:val="396"/>
        </w:trPr>
        <w:tc>
          <w:tcPr>
            <w:tcW w:w="9214" w:type="dxa"/>
            <w:gridSpan w:val="2"/>
          </w:tcPr>
          <w:p w14:paraId="1E3457DD" w14:textId="77777777" w:rsidR="00814346" w:rsidRPr="003D55D7" w:rsidRDefault="00814346" w:rsidP="00CA0889">
            <w:pPr>
              <w:spacing w:after="160" w:line="259" w:lineRule="auto"/>
              <w:ind w:left="107"/>
              <w:rPr>
                <w:rFonts w:eastAsia="Calibri" w:cstheme="minorHAnsi"/>
                <w:sz w:val="16"/>
                <w:szCs w:val="16"/>
              </w:rPr>
            </w:pPr>
            <w:r w:rsidRPr="003D55D7">
              <w:rPr>
                <w:rFonts w:eastAsia="Calibri" w:cstheme="minorHAnsi"/>
                <w:b/>
                <w:sz w:val="16"/>
                <w:szCs w:val="16"/>
              </w:rPr>
              <w:t>Počet</w:t>
            </w:r>
            <w:r w:rsidRPr="003D55D7">
              <w:rPr>
                <w:rFonts w:eastAsia="Calibr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3D55D7">
              <w:rPr>
                <w:rFonts w:eastAsia="Calibri" w:cstheme="minorHAnsi"/>
                <w:b/>
                <w:sz w:val="16"/>
                <w:szCs w:val="16"/>
              </w:rPr>
              <w:t>kreditov:</w:t>
            </w:r>
            <w:r w:rsidRPr="003D55D7">
              <w:rPr>
                <w:rFonts w:eastAsia="Calibri" w:cstheme="minorHAnsi"/>
                <w:sz w:val="16"/>
                <w:szCs w:val="16"/>
              </w:rPr>
              <w:t xml:space="preserve"> 5</w:t>
            </w:r>
          </w:p>
        </w:tc>
      </w:tr>
      <w:tr w:rsidR="00814346" w:rsidRPr="00DF72E5" w14:paraId="17D2657F" w14:textId="77777777" w:rsidTr="00CA0889">
        <w:trPr>
          <w:trHeight w:val="397"/>
        </w:trPr>
        <w:tc>
          <w:tcPr>
            <w:tcW w:w="9214" w:type="dxa"/>
            <w:gridSpan w:val="2"/>
          </w:tcPr>
          <w:p w14:paraId="0BE6297D" w14:textId="77777777" w:rsidR="00814346" w:rsidRPr="003D55D7" w:rsidRDefault="00814346" w:rsidP="00CA0889">
            <w:pPr>
              <w:spacing w:after="160" w:line="259" w:lineRule="auto"/>
              <w:ind w:left="107"/>
              <w:rPr>
                <w:rFonts w:eastAsia="Calibri" w:cstheme="minorHAnsi"/>
                <w:bCs/>
                <w:sz w:val="16"/>
                <w:szCs w:val="16"/>
              </w:rPr>
            </w:pPr>
            <w:r w:rsidRPr="003D55D7">
              <w:rPr>
                <w:rFonts w:eastAsia="Calibri" w:cstheme="minorHAnsi"/>
                <w:b/>
                <w:sz w:val="16"/>
                <w:szCs w:val="16"/>
              </w:rPr>
              <w:t>Odporúčaný</w:t>
            </w:r>
            <w:r w:rsidRPr="003D55D7">
              <w:rPr>
                <w:rFonts w:eastAsia="Calibr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3D55D7">
              <w:rPr>
                <w:rFonts w:eastAsia="Calibri" w:cstheme="minorHAnsi"/>
                <w:b/>
                <w:sz w:val="16"/>
                <w:szCs w:val="16"/>
              </w:rPr>
              <w:t>semester/trimester</w:t>
            </w:r>
            <w:r w:rsidRPr="003D55D7">
              <w:rPr>
                <w:rFonts w:eastAsia="Calibr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3D55D7">
              <w:rPr>
                <w:rFonts w:eastAsia="Calibri" w:cstheme="minorHAnsi"/>
                <w:b/>
                <w:sz w:val="16"/>
                <w:szCs w:val="16"/>
              </w:rPr>
              <w:t>štúdia:</w:t>
            </w:r>
            <w:r w:rsidRPr="003D55D7">
              <w:rPr>
                <w:rFonts w:eastAsia="Calibr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3D55D7">
              <w:rPr>
                <w:rFonts w:eastAsia="Calibri" w:cstheme="minorHAnsi"/>
                <w:bCs/>
                <w:spacing w:val="-1"/>
                <w:sz w:val="16"/>
                <w:szCs w:val="16"/>
              </w:rPr>
              <w:t xml:space="preserve">3. semester </w:t>
            </w:r>
          </w:p>
        </w:tc>
      </w:tr>
      <w:tr w:rsidR="00814346" w:rsidRPr="00981701" w14:paraId="11E7356A" w14:textId="77777777" w:rsidTr="00CA0889">
        <w:trPr>
          <w:trHeight w:val="398"/>
        </w:trPr>
        <w:tc>
          <w:tcPr>
            <w:tcW w:w="9214" w:type="dxa"/>
            <w:gridSpan w:val="2"/>
          </w:tcPr>
          <w:p w14:paraId="7D8C7EBE" w14:textId="77777777" w:rsidR="00814346" w:rsidRPr="003D55D7" w:rsidRDefault="00814346" w:rsidP="00CA0889">
            <w:pPr>
              <w:spacing w:after="160" w:line="259" w:lineRule="auto"/>
              <w:ind w:left="107"/>
              <w:rPr>
                <w:rFonts w:eastAsia="Calibri" w:cstheme="minorHAnsi"/>
                <w:sz w:val="16"/>
                <w:szCs w:val="16"/>
              </w:rPr>
            </w:pPr>
            <w:r w:rsidRPr="003D55D7">
              <w:rPr>
                <w:rFonts w:eastAsia="Calibri" w:cstheme="minorHAnsi"/>
                <w:b/>
                <w:sz w:val="16"/>
                <w:szCs w:val="16"/>
              </w:rPr>
              <w:t>Stupeň</w:t>
            </w:r>
            <w:r w:rsidRPr="003D55D7">
              <w:rPr>
                <w:rFonts w:eastAsia="Calibr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3D55D7">
              <w:rPr>
                <w:rFonts w:eastAsia="Calibri" w:cstheme="minorHAnsi"/>
                <w:b/>
                <w:sz w:val="16"/>
                <w:szCs w:val="16"/>
              </w:rPr>
              <w:t xml:space="preserve">štúdia: </w:t>
            </w:r>
            <w:r w:rsidRPr="003D55D7">
              <w:rPr>
                <w:rFonts w:eastAsia="Calibri" w:cstheme="minorHAnsi"/>
                <w:sz w:val="16"/>
                <w:szCs w:val="16"/>
              </w:rPr>
              <w:t>1.</w:t>
            </w:r>
            <w:r w:rsidRPr="003D55D7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3D55D7">
              <w:rPr>
                <w:rFonts w:eastAsia="Calibri" w:cstheme="minorHAnsi"/>
                <w:sz w:val="16"/>
                <w:szCs w:val="16"/>
              </w:rPr>
              <w:t>stupeň</w:t>
            </w:r>
            <w:r w:rsidRPr="003D55D7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r w:rsidRPr="003D55D7">
              <w:rPr>
                <w:rFonts w:eastAsia="Calibri" w:cstheme="minorHAnsi"/>
                <w:sz w:val="16"/>
                <w:szCs w:val="16"/>
              </w:rPr>
              <w:t>(bakalársky)</w:t>
            </w:r>
          </w:p>
        </w:tc>
      </w:tr>
      <w:tr w:rsidR="00814346" w:rsidRPr="00E83CA1" w14:paraId="7E50D3BC" w14:textId="77777777" w:rsidTr="00CA0889">
        <w:trPr>
          <w:trHeight w:val="395"/>
        </w:trPr>
        <w:tc>
          <w:tcPr>
            <w:tcW w:w="9214" w:type="dxa"/>
            <w:gridSpan w:val="2"/>
          </w:tcPr>
          <w:p w14:paraId="6DF8D6AE" w14:textId="77777777" w:rsidR="00814346" w:rsidRPr="003D55D7" w:rsidRDefault="00814346" w:rsidP="00CA0889">
            <w:pPr>
              <w:spacing w:after="160" w:line="259" w:lineRule="auto"/>
              <w:ind w:left="107" w:right="140"/>
              <w:rPr>
                <w:rFonts w:eastAsia="Calibri" w:cstheme="minorHAnsi"/>
                <w:b/>
                <w:spacing w:val="-2"/>
                <w:sz w:val="16"/>
                <w:szCs w:val="16"/>
              </w:rPr>
            </w:pPr>
            <w:r w:rsidRPr="003D55D7">
              <w:rPr>
                <w:rFonts w:eastAsia="Calibri" w:cstheme="minorHAnsi"/>
                <w:b/>
                <w:sz w:val="16"/>
                <w:szCs w:val="16"/>
              </w:rPr>
              <w:t>Podmieňujúce</w:t>
            </w:r>
            <w:r w:rsidRPr="003D55D7">
              <w:rPr>
                <w:rFonts w:eastAsia="Calibr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3D55D7">
              <w:rPr>
                <w:rFonts w:eastAsia="Calibri" w:cstheme="minorHAnsi"/>
                <w:b/>
                <w:sz w:val="16"/>
                <w:szCs w:val="16"/>
              </w:rPr>
              <w:t>predmety:</w:t>
            </w:r>
            <w:r w:rsidRPr="003D55D7">
              <w:rPr>
                <w:rFonts w:eastAsia="Calibri" w:cstheme="minorHAnsi"/>
                <w:b/>
                <w:spacing w:val="-2"/>
                <w:sz w:val="16"/>
                <w:szCs w:val="16"/>
              </w:rPr>
              <w:t xml:space="preserve">  </w:t>
            </w:r>
            <w:r w:rsidRPr="003D55D7">
              <w:rPr>
                <w:rFonts w:eastAsia="Calibri" w:cstheme="minorHAnsi"/>
                <w:bCs/>
                <w:spacing w:val="-2"/>
                <w:sz w:val="16"/>
                <w:szCs w:val="16"/>
              </w:rPr>
              <w:t>V</w:t>
            </w:r>
            <w:r w:rsidRPr="003D55D7">
              <w:rPr>
                <w:rFonts w:eastAsia="Calibri" w:cstheme="minorHAnsi"/>
                <w:bCs/>
                <w:sz w:val="16"/>
                <w:szCs w:val="16"/>
              </w:rPr>
              <w:t>š</w:t>
            </w:r>
            <w:r w:rsidRPr="003D55D7">
              <w:rPr>
                <w:rFonts w:eastAsia="Calibri" w:cstheme="minorHAnsi"/>
                <w:sz w:val="16"/>
                <w:szCs w:val="16"/>
              </w:rPr>
              <w:t xml:space="preserve">eobecná psychológia, </w:t>
            </w:r>
            <w:r w:rsidRPr="003D55D7">
              <w:rPr>
                <w:rFonts w:eastAsia="Calibri" w:cstheme="minorHAnsi"/>
                <w:bCs/>
                <w:sz w:val="16"/>
                <w:szCs w:val="16"/>
              </w:rPr>
              <w:t xml:space="preserve"> Psychológia osobnosti 1, Metodológia, Vývinová  psychológia;</w:t>
            </w:r>
          </w:p>
        </w:tc>
      </w:tr>
      <w:tr w:rsidR="00814346" w:rsidRPr="00981701" w14:paraId="2B3A2F12" w14:textId="77777777" w:rsidTr="00CA0889">
        <w:trPr>
          <w:trHeight w:val="1346"/>
        </w:trPr>
        <w:tc>
          <w:tcPr>
            <w:tcW w:w="9214" w:type="dxa"/>
            <w:gridSpan w:val="2"/>
          </w:tcPr>
          <w:p w14:paraId="7DD7BD51" w14:textId="77777777" w:rsidR="00814346" w:rsidRPr="003D55D7" w:rsidRDefault="00814346" w:rsidP="00CA0889">
            <w:pPr>
              <w:spacing w:after="160" w:line="259" w:lineRule="auto"/>
              <w:ind w:left="107" w:right="95"/>
              <w:rPr>
                <w:rFonts w:eastAsia="Calibri" w:cstheme="minorHAnsi"/>
                <w:b/>
                <w:sz w:val="16"/>
                <w:szCs w:val="16"/>
              </w:rPr>
            </w:pPr>
            <w:r w:rsidRPr="003D55D7">
              <w:rPr>
                <w:rFonts w:eastAsia="Calibri" w:cstheme="minorHAnsi"/>
                <w:b/>
                <w:sz w:val="16"/>
                <w:szCs w:val="16"/>
              </w:rPr>
              <w:t xml:space="preserve">Podmienky na absolvovanie predmetu: </w:t>
            </w:r>
          </w:p>
          <w:p w14:paraId="5886CD87" w14:textId="77777777" w:rsidR="00814346" w:rsidRPr="003D55D7" w:rsidRDefault="00814346" w:rsidP="00CA0889">
            <w:pPr>
              <w:spacing w:after="160" w:line="259" w:lineRule="auto"/>
              <w:ind w:left="107" w:right="95"/>
              <w:rPr>
                <w:rFonts w:eastAsia="Calibri" w:cstheme="minorHAnsi"/>
                <w:sz w:val="16"/>
                <w:szCs w:val="16"/>
              </w:rPr>
            </w:pPr>
            <w:r w:rsidRPr="003D55D7">
              <w:rPr>
                <w:rFonts w:eastAsia="Calibri" w:cstheme="minorHAnsi"/>
                <w:sz w:val="16"/>
                <w:szCs w:val="16"/>
              </w:rPr>
              <w:t>Na absolvovanie predmetu je potrebná aktívna účasť na výučbových aktivitách a úspešné absolvovanie, a overenie vzdelávacích výstupov.</w:t>
            </w:r>
          </w:p>
          <w:p w14:paraId="46878CAF" w14:textId="77777777" w:rsidR="00814346" w:rsidRPr="003D55D7" w:rsidRDefault="00814346" w:rsidP="00CA0889">
            <w:pPr>
              <w:spacing w:after="160" w:line="259" w:lineRule="auto"/>
              <w:ind w:left="107" w:right="95"/>
              <w:rPr>
                <w:rFonts w:eastAsia="Calibri" w:cstheme="minorHAnsi"/>
                <w:sz w:val="16"/>
                <w:szCs w:val="16"/>
              </w:rPr>
            </w:pPr>
            <w:r w:rsidRPr="003D55D7">
              <w:rPr>
                <w:rFonts w:eastAsia="Calibri" w:cstheme="minorHAnsi"/>
                <w:sz w:val="16"/>
                <w:szCs w:val="16"/>
              </w:rPr>
              <w:t>Študent/ka môže počas semestra získať maximálne 100 bodov za jednotlivé časti skúšky.</w:t>
            </w:r>
          </w:p>
          <w:p w14:paraId="592CEAD7" w14:textId="77777777" w:rsidR="00814346" w:rsidRPr="003D55D7" w:rsidRDefault="00814346" w:rsidP="00CA0889">
            <w:pPr>
              <w:spacing w:after="160" w:line="259" w:lineRule="auto"/>
              <w:ind w:left="107" w:right="95"/>
              <w:rPr>
                <w:rFonts w:eastAsia="Calibri" w:cstheme="minorHAnsi"/>
                <w:sz w:val="16"/>
                <w:szCs w:val="16"/>
              </w:rPr>
            </w:pPr>
            <w:r w:rsidRPr="003D55D7">
              <w:rPr>
                <w:rFonts w:eastAsia="Calibri" w:cstheme="minorHAnsi"/>
                <w:sz w:val="16"/>
                <w:szCs w:val="16"/>
              </w:rPr>
              <w:t>Podmienkou udelenia kreditov za predmet je minimálne 61% úspešnosť v hodnotení.  Dosiahnutý počet bodov za jednotlivé aktivity sa spočítava a tvorí celkové hodnotenie.  Na hodnotenie  A: 100 – 91 %, B: 90 – 81 %, C: 80 – 73 %, D: 72 – 66 %, E: 65 – 61 % , FX: 60 – 0 %.</w:t>
            </w:r>
          </w:p>
        </w:tc>
      </w:tr>
      <w:tr w:rsidR="00814346" w:rsidRPr="00981701" w14:paraId="0E262EFA" w14:textId="77777777" w:rsidTr="00CA0889">
        <w:trPr>
          <w:trHeight w:val="871"/>
        </w:trPr>
        <w:tc>
          <w:tcPr>
            <w:tcW w:w="9214" w:type="dxa"/>
            <w:gridSpan w:val="2"/>
          </w:tcPr>
          <w:p w14:paraId="722C8DC4" w14:textId="77777777" w:rsidR="00814346" w:rsidRPr="003D55D7" w:rsidRDefault="00814346" w:rsidP="00CA0889">
            <w:pPr>
              <w:spacing w:after="160" w:line="259" w:lineRule="auto"/>
              <w:ind w:left="107" w:right="96"/>
              <w:rPr>
                <w:rFonts w:eastAsia="Calibri" w:cstheme="minorHAnsi"/>
                <w:sz w:val="16"/>
                <w:szCs w:val="16"/>
              </w:rPr>
            </w:pPr>
            <w:r w:rsidRPr="003D55D7">
              <w:rPr>
                <w:rFonts w:eastAsia="Calibri" w:cstheme="minorHAnsi"/>
                <w:b/>
                <w:sz w:val="16"/>
                <w:szCs w:val="16"/>
              </w:rPr>
              <w:t xml:space="preserve">Výsledky vzdelávania: </w:t>
            </w:r>
          </w:p>
          <w:tbl>
            <w:tblPr>
              <w:tblStyle w:val="Mriekatabuky7"/>
              <w:tblW w:w="0" w:type="auto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818"/>
              <w:gridCol w:w="4812"/>
              <w:gridCol w:w="1570"/>
              <w:gridCol w:w="1771"/>
            </w:tblGrid>
            <w:tr w:rsidR="00814346" w:rsidRPr="003D55D7" w14:paraId="5811B161" w14:textId="77777777" w:rsidTr="00CA0889">
              <w:tc>
                <w:tcPr>
                  <w:tcW w:w="818" w:type="dxa"/>
                </w:tcPr>
                <w:p w14:paraId="32479C4E" w14:textId="77777777" w:rsidR="00814346" w:rsidRPr="003D55D7" w:rsidRDefault="00814346" w:rsidP="00CA0889">
                  <w:pPr>
                    <w:spacing w:after="160" w:line="259" w:lineRule="auto"/>
                    <w:jc w:val="center"/>
                    <w:rPr>
                      <w:rFonts w:eastAsia="Calibr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812" w:type="dxa"/>
                </w:tcPr>
                <w:p w14:paraId="004418CF" w14:textId="77777777" w:rsidR="00814346" w:rsidRPr="003D55D7" w:rsidRDefault="00814346" w:rsidP="00CA0889">
                  <w:pPr>
                    <w:spacing w:after="160" w:line="259" w:lineRule="auto"/>
                    <w:contextualSpacing/>
                    <w:jc w:val="both"/>
                    <w:rPr>
                      <w:rFonts w:eastAsia="Calibr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3D55D7">
                    <w:rPr>
                      <w:rFonts w:eastAsia="Calibr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  <w:t>Deskriptory VV</w:t>
                  </w:r>
                </w:p>
              </w:tc>
              <w:tc>
                <w:tcPr>
                  <w:tcW w:w="1570" w:type="dxa"/>
                </w:tcPr>
                <w:p w14:paraId="4F7860B7" w14:textId="77777777" w:rsidR="00814346" w:rsidRPr="003D55D7" w:rsidRDefault="00814346" w:rsidP="00CA0889">
                  <w:pPr>
                    <w:spacing w:after="160" w:line="259" w:lineRule="auto"/>
                    <w:rPr>
                      <w:rFonts w:eastAsia="Calibr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3D55D7">
                    <w:rPr>
                      <w:rFonts w:eastAsia="Calibr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  <w:t>Forma vzdelávania</w:t>
                  </w:r>
                </w:p>
              </w:tc>
              <w:tc>
                <w:tcPr>
                  <w:tcW w:w="1771" w:type="dxa"/>
                </w:tcPr>
                <w:p w14:paraId="58232A11" w14:textId="77777777" w:rsidR="00814346" w:rsidRPr="003D55D7" w:rsidRDefault="00814346" w:rsidP="00CA0889">
                  <w:pPr>
                    <w:spacing w:after="160" w:line="259" w:lineRule="auto"/>
                    <w:rPr>
                      <w:rFonts w:eastAsia="Calibr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3D55D7">
                    <w:rPr>
                      <w:rFonts w:eastAsia="Calibr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  <w:t>Metóda hodnotenia/overenia VV</w:t>
                  </w:r>
                </w:p>
              </w:tc>
            </w:tr>
            <w:tr w:rsidR="00814346" w:rsidRPr="003D55D7" w14:paraId="52E3A145" w14:textId="77777777" w:rsidTr="00CA0889">
              <w:tc>
                <w:tcPr>
                  <w:tcW w:w="818" w:type="dxa"/>
                </w:tcPr>
                <w:p w14:paraId="39CEC2F6" w14:textId="77777777" w:rsidR="00814346" w:rsidRPr="003D55D7" w:rsidRDefault="00814346" w:rsidP="00CA0889">
                  <w:pPr>
                    <w:spacing w:after="160" w:line="259" w:lineRule="auto"/>
                    <w:jc w:val="center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3D55D7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>VV1</w:t>
                  </w:r>
                </w:p>
              </w:tc>
              <w:tc>
                <w:tcPr>
                  <w:tcW w:w="4812" w:type="dxa"/>
                </w:tcPr>
                <w:p w14:paraId="4C1A2059" w14:textId="77777777" w:rsidR="00814346" w:rsidRPr="003D55D7" w:rsidRDefault="00814346" w:rsidP="00CA0889">
                  <w:pPr>
                    <w:spacing w:after="160" w:line="259" w:lineRule="auto"/>
                    <w:contextualSpacing/>
                    <w:jc w:val="both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3D55D7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>Vedomosti:</w:t>
                  </w:r>
                </w:p>
                <w:p w14:paraId="2157CD07" w14:textId="77777777" w:rsidR="00814346" w:rsidRPr="003D55D7" w:rsidRDefault="00814346" w:rsidP="00CA0889">
                  <w:pPr>
                    <w:spacing w:after="160" w:line="259" w:lineRule="auto"/>
                    <w:contextualSpacing/>
                    <w:jc w:val="both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3D55D7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>Študent si pamätá a dokáže reprodukovať jednotlivé základné pojmy a definície  psychodiagnostiky, dokáže opísať osobnostné a kvalifikačné predpoklady pre výkon psychodiagnostiky.</w:t>
                  </w:r>
                </w:p>
                <w:p w14:paraId="40613F17" w14:textId="77777777" w:rsidR="00814346" w:rsidRPr="003D55D7" w:rsidRDefault="00814346" w:rsidP="00CA0889">
                  <w:pPr>
                    <w:spacing w:after="160" w:line="259" w:lineRule="auto"/>
                    <w:contextualSpacing/>
                    <w:jc w:val="both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570" w:type="dxa"/>
                </w:tcPr>
                <w:p w14:paraId="6DBE1C03" w14:textId="77777777" w:rsidR="00814346" w:rsidRPr="003D55D7" w:rsidRDefault="00814346" w:rsidP="00CA0889">
                  <w:pPr>
                    <w:spacing w:after="160" w:line="259" w:lineRule="auto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3D55D7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>Hromadná prednáška + samoštúdium</w:t>
                  </w:r>
                </w:p>
              </w:tc>
              <w:tc>
                <w:tcPr>
                  <w:tcW w:w="1771" w:type="dxa"/>
                </w:tcPr>
                <w:p w14:paraId="314583F2" w14:textId="77777777" w:rsidR="00814346" w:rsidRPr="003D55D7" w:rsidRDefault="00814346" w:rsidP="00CA0889">
                  <w:pPr>
                    <w:spacing w:after="160" w:line="259" w:lineRule="auto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3D55D7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>Test (max. 30 bodov) % úspešnosti 61 % - 18 b.</w:t>
                  </w:r>
                </w:p>
              </w:tc>
            </w:tr>
            <w:tr w:rsidR="00814346" w:rsidRPr="003D55D7" w14:paraId="6D7E1E7A" w14:textId="77777777" w:rsidTr="00CA0889">
              <w:tc>
                <w:tcPr>
                  <w:tcW w:w="818" w:type="dxa"/>
                </w:tcPr>
                <w:p w14:paraId="01AEC36A" w14:textId="77777777" w:rsidR="00814346" w:rsidRPr="003D55D7" w:rsidRDefault="00814346" w:rsidP="00CA0889">
                  <w:pPr>
                    <w:spacing w:after="160" w:line="259" w:lineRule="auto"/>
                    <w:jc w:val="center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3D55D7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>VV2</w:t>
                  </w:r>
                </w:p>
              </w:tc>
              <w:tc>
                <w:tcPr>
                  <w:tcW w:w="4812" w:type="dxa"/>
                </w:tcPr>
                <w:p w14:paraId="288B69D7" w14:textId="77777777" w:rsidR="00814346" w:rsidRPr="003D55D7" w:rsidRDefault="00814346" w:rsidP="00CA0889">
                  <w:pPr>
                    <w:spacing w:after="160" w:line="259" w:lineRule="auto"/>
                    <w:contextualSpacing/>
                    <w:jc w:val="both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3D55D7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>Vedomosti:</w:t>
                  </w:r>
                </w:p>
                <w:p w14:paraId="076816A8" w14:textId="77777777" w:rsidR="00814346" w:rsidRPr="003D55D7" w:rsidRDefault="00814346" w:rsidP="00CA0889">
                  <w:pPr>
                    <w:spacing w:after="160" w:line="259" w:lineRule="auto"/>
                    <w:contextualSpacing/>
                    <w:jc w:val="both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3D55D7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 xml:space="preserve">Študent rozumie jednotlivým pojmom a základným definíciám v oblasti psychodiagnostiky,  dokáže vysvetliť náplň a obsah  psychodiagnostiky, v rámci profesie. Rozumie atribútom </w:t>
                  </w:r>
                </w:p>
                <w:p w14:paraId="3F39E254" w14:textId="77777777" w:rsidR="00814346" w:rsidRPr="003D55D7" w:rsidRDefault="00814346" w:rsidP="00CA0889">
                  <w:pPr>
                    <w:spacing w:after="160" w:line="259" w:lineRule="auto"/>
                    <w:contextualSpacing/>
                    <w:jc w:val="both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3D55D7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 xml:space="preserve">vedeckého prístupu v psychodiagnostike, dokáže uviesť príklady najbežnejších psychologických problémov klientov z hľadiska psychodiagnostiky.  </w:t>
                  </w:r>
                </w:p>
              </w:tc>
              <w:tc>
                <w:tcPr>
                  <w:tcW w:w="1570" w:type="dxa"/>
                </w:tcPr>
                <w:p w14:paraId="2AAC8C4E" w14:textId="77777777" w:rsidR="00814346" w:rsidRPr="003D55D7" w:rsidRDefault="00814346" w:rsidP="00CA0889">
                  <w:pPr>
                    <w:spacing w:after="160" w:line="259" w:lineRule="auto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3D55D7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>Hromadná prednáška + samoštúdium</w:t>
                  </w:r>
                </w:p>
              </w:tc>
              <w:tc>
                <w:tcPr>
                  <w:tcW w:w="1771" w:type="dxa"/>
                </w:tcPr>
                <w:p w14:paraId="388F535E" w14:textId="77777777" w:rsidR="00814346" w:rsidRPr="003D55D7" w:rsidRDefault="00814346" w:rsidP="00CA0889">
                  <w:pPr>
                    <w:spacing w:after="160" w:line="259" w:lineRule="auto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3D55D7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>Test (max .20 bodov) % úspešnosti 61 % - 12 b.</w:t>
                  </w:r>
                </w:p>
              </w:tc>
            </w:tr>
            <w:tr w:rsidR="00814346" w:rsidRPr="003D55D7" w14:paraId="24CC355C" w14:textId="77777777" w:rsidTr="00CA0889">
              <w:tc>
                <w:tcPr>
                  <w:tcW w:w="818" w:type="dxa"/>
                </w:tcPr>
                <w:p w14:paraId="1A642CA7" w14:textId="77777777" w:rsidR="00814346" w:rsidRPr="003D55D7" w:rsidRDefault="00814346" w:rsidP="00CA0889">
                  <w:pPr>
                    <w:spacing w:after="160" w:line="259" w:lineRule="auto"/>
                    <w:jc w:val="center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3D55D7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>VV3</w:t>
                  </w:r>
                </w:p>
              </w:tc>
              <w:tc>
                <w:tcPr>
                  <w:tcW w:w="4812" w:type="dxa"/>
                </w:tcPr>
                <w:p w14:paraId="1011BFBD" w14:textId="77777777" w:rsidR="00814346" w:rsidRPr="003D55D7" w:rsidRDefault="00814346" w:rsidP="00CA0889">
                  <w:pPr>
                    <w:spacing w:after="160" w:line="259" w:lineRule="auto"/>
                    <w:contextualSpacing/>
                    <w:jc w:val="both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3D55D7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>Zručnosti:</w:t>
                  </w:r>
                </w:p>
                <w:p w14:paraId="13F56A90" w14:textId="77777777" w:rsidR="00814346" w:rsidRPr="003D55D7" w:rsidRDefault="00814346" w:rsidP="00CA0889">
                  <w:pPr>
                    <w:spacing w:after="160" w:line="259" w:lineRule="auto"/>
                    <w:contextualSpacing/>
                    <w:jc w:val="both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3D55D7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 xml:space="preserve">Študent dokáže rozlíšiť, popisuje a interpretuje jednotlivé  </w:t>
                  </w:r>
                </w:p>
                <w:p w14:paraId="4905D2EE" w14:textId="77777777" w:rsidR="00814346" w:rsidRPr="003D55D7" w:rsidRDefault="00814346" w:rsidP="00CA0889">
                  <w:pPr>
                    <w:spacing w:after="160" w:line="259" w:lineRule="auto"/>
                    <w:contextualSpacing/>
                    <w:jc w:val="both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3D55D7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>základné psychodiagnostické prístupy k problémom a typom klientov.</w:t>
                  </w:r>
                </w:p>
              </w:tc>
              <w:tc>
                <w:tcPr>
                  <w:tcW w:w="1570" w:type="dxa"/>
                </w:tcPr>
                <w:p w14:paraId="7F79CC46" w14:textId="77777777" w:rsidR="00814346" w:rsidRPr="003D55D7" w:rsidRDefault="00814346" w:rsidP="00CA0889">
                  <w:pPr>
                    <w:spacing w:after="160" w:line="259" w:lineRule="auto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3D55D7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>prednáška + samoštúdium + samostatná písomná práca</w:t>
                  </w:r>
                </w:p>
              </w:tc>
              <w:tc>
                <w:tcPr>
                  <w:tcW w:w="1771" w:type="dxa"/>
                </w:tcPr>
                <w:p w14:paraId="7E9E9522" w14:textId="77777777" w:rsidR="00814346" w:rsidRPr="003D55D7" w:rsidRDefault="00814346" w:rsidP="00CA0889">
                  <w:pPr>
                    <w:spacing w:after="160" w:line="259" w:lineRule="auto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3D55D7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>Hodnotenie samostatnej písomnej práce zameranej na porozumenie a interpretáciu jednotlivých prístupov v základnej psychodiagnostike k jednotlivým typom hodnotených  klientov, (max. 30 bodov) % úspešnosti 61 % =18 b.</w:t>
                  </w:r>
                </w:p>
              </w:tc>
            </w:tr>
            <w:tr w:rsidR="00814346" w:rsidRPr="003D55D7" w14:paraId="1D2A415F" w14:textId="77777777" w:rsidTr="00CA0889">
              <w:tc>
                <w:tcPr>
                  <w:tcW w:w="818" w:type="dxa"/>
                </w:tcPr>
                <w:p w14:paraId="4927D593" w14:textId="77777777" w:rsidR="00814346" w:rsidRPr="003D55D7" w:rsidRDefault="00814346" w:rsidP="00CA0889">
                  <w:pPr>
                    <w:spacing w:after="160" w:line="259" w:lineRule="auto"/>
                    <w:jc w:val="center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3D55D7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lastRenderedPageBreak/>
                    <w:t>VV4</w:t>
                  </w:r>
                </w:p>
              </w:tc>
              <w:tc>
                <w:tcPr>
                  <w:tcW w:w="4812" w:type="dxa"/>
                </w:tcPr>
                <w:p w14:paraId="1839495D" w14:textId="77777777" w:rsidR="00814346" w:rsidRPr="003D55D7" w:rsidRDefault="00814346" w:rsidP="00CA0889">
                  <w:pPr>
                    <w:spacing w:after="160" w:line="259" w:lineRule="auto"/>
                    <w:contextualSpacing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3D55D7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>Kompetentnosti:</w:t>
                  </w:r>
                </w:p>
                <w:p w14:paraId="68C029E8" w14:textId="77777777" w:rsidR="00814346" w:rsidRPr="003D55D7" w:rsidRDefault="00814346" w:rsidP="00CA0889">
                  <w:pPr>
                    <w:spacing w:after="160" w:line="259" w:lineRule="auto"/>
                    <w:contextualSpacing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3D55D7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>Študent aplikuje poznatky  o najbežnejších prístupoch v oblasti  psychodiagnostiky, dokáže posúdiť a názorne ukázať využitie rôznych psychodiagnostických prístupov pri  psychických problémoch najbežnejších typov klientov  v súčasnosti.</w:t>
                  </w:r>
                </w:p>
              </w:tc>
              <w:tc>
                <w:tcPr>
                  <w:tcW w:w="1570" w:type="dxa"/>
                </w:tcPr>
                <w:p w14:paraId="2F14A12B" w14:textId="77777777" w:rsidR="00814346" w:rsidRPr="003D55D7" w:rsidRDefault="00814346" w:rsidP="00CA0889">
                  <w:pPr>
                    <w:spacing w:after="160" w:line="259" w:lineRule="auto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3D55D7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>Prednáška, + Samoštúdium, + samostatná písomná práca - vyhodnotenie psdg. metódy</w:t>
                  </w:r>
                </w:p>
              </w:tc>
              <w:tc>
                <w:tcPr>
                  <w:tcW w:w="1771" w:type="dxa"/>
                </w:tcPr>
                <w:p w14:paraId="4577BA13" w14:textId="77777777" w:rsidR="00814346" w:rsidRPr="003D55D7" w:rsidRDefault="00814346" w:rsidP="00CA0889">
                  <w:pPr>
                    <w:spacing w:after="160" w:line="259" w:lineRule="auto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3D55D7"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  <w:t>Hodnotenie prípadu, (max. 20 bodov) % úspešnosti 61 % = 12 b.</w:t>
                  </w:r>
                </w:p>
              </w:tc>
            </w:tr>
          </w:tbl>
          <w:p w14:paraId="791AA483" w14:textId="77777777" w:rsidR="00814346" w:rsidRPr="003D55D7" w:rsidRDefault="00814346" w:rsidP="00CA0889">
            <w:pPr>
              <w:spacing w:after="160" w:line="259" w:lineRule="auto"/>
              <w:ind w:left="107" w:right="96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814346" w:rsidRPr="00981701" w14:paraId="106DC8F9" w14:textId="77777777" w:rsidTr="00CA0889">
        <w:trPr>
          <w:trHeight w:val="3081"/>
        </w:trPr>
        <w:tc>
          <w:tcPr>
            <w:tcW w:w="9214" w:type="dxa"/>
            <w:gridSpan w:val="2"/>
          </w:tcPr>
          <w:p w14:paraId="69E4EA2F" w14:textId="77777777" w:rsidR="00814346" w:rsidRPr="003D55D7" w:rsidRDefault="00814346" w:rsidP="00CA0889">
            <w:pPr>
              <w:spacing w:after="160" w:line="259" w:lineRule="auto"/>
              <w:ind w:left="134"/>
              <w:rPr>
                <w:rFonts w:eastAsia="Calibri" w:cstheme="minorHAnsi"/>
                <w:b/>
                <w:sz w:val="16"/>
                <w:szCs w:val="16"/>
              </w:rPr>
            </w:pPr>
            <w:r w:rsidRPr="003D55D7">
              <w:rPr>
                <w:rFonts w:eastAsia="Calibri" w:cstheme="minorHAnsi"/>
                <w:b/>
                <w:sz w:val="16"/>
                <w:szCs w:val="16"/>
              </w:rPr>
              <w:lastRenderedPageBreak/>
              <w:t>Stručná</w:t>
            </w:r>
            <w:r w:rsidRPr="003D55D7">
              <w:rPr>
                <w:rFonts w:eastAsia="Calibr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3D55D7">
              <w:rPr>
                <w:rFonts w:eastAsia="Calibri" w:cstheme="minorHAnsi"/>
                <w:b/>
                <w:sz w:val="16"/>
                <w:szCs w:val="16"/>
              </w:rPr>
              <w:t>osnova</w:t>
            </w:r>
            <w:r w:rsidRPr="003D55D7">
              <w:rPr>
                <w:rFonts w:eastAsia="Calibr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3D55D7">
              <w:rPr>
                <w:rFonts w:eastAsia="Calibri" w:cstheme="minorHAnsi"/>
                <w:b/>
                <w:sz w:val="16"/>
                <w:szCs w:val="16"/>
              </w:rPr>
              <w:t>predmetu:</w:t>
            </w:r>
          </w:p>
          <w:p w14:paraId="0DF90437" w14:textId="77777777" w:rsidR="00814346" w:rsidRPr="003D55D7" w:rsidRDefault="00814346" w:rsidP="00CA0889">
            <w:pPr>
              <w:numPr>
                <w:ilvl w:val="0"/>
                <w:numId w:val="4"/>
              </w:numPr>
              <w:adjustRightInd w:val="0"/>
              <w:spacing w:after="160" w:line="259" w:lineRule="auto"/>
              <w:ind w:right="282"/>
              <w:contextualSpacing/>
              <w:rPr>
                <w:rFonts w:cstheme="minorHAnsi"/>
                <w:sz w:val="16"/>
                <w:szCs w:val="16"/>
              </w:rPr>
            </w:pPr>
            <w:r w:rsidRPr="003D55D7">
              <w:rPr>
                <w:rFonts w:cstheme="minorHAnsi"/>
                <w:sz w:val="16"/>
                <w:szCs w:val="16"/>
              </w:rPr>
              <w:t>Predmet psychodiagnostiky, dejiny psychodiagnostiky, predvedecké a vedecké obdobie používania psdg. metód v</w:t>
            </w:r>
          </w:p>
          <w:p w14:paraId="25235E1D" w14:textId="77777777" w:rsidR="00814346" w:rsidRPr="003D55D7" w:rsidRDefault="00814346" w:rsidP="00CA0889">
            <w:pPr>
              <w:adjustRightInd w:val="0"/>
              <w:spacing w:after="160" w:line="259" w:lineRule="auto"/>
              <w:ind w:left="720" w:right="282"/>
              <w:contextualSpacing/>
              <w:rPr>
                <w:rFonts w:cstheme="minorHAnsi"/>
                <w:sz w:val="16"/>
                <w:szCs w:val="16"/>
              </w:rPr>
            </w:pPr>
            <w:r w:rsidRPr="003D55D7">
              <w:rPr>
                <w:rFonts w:cstheme="minorHAnsi"/>
                <w:sz w:val="16"/>
                <w:szCs w:val="16"/>
              </w:rPr>
              <w:t xml:space="preserve">psychológii, všeobecné teoretické problémy psychodiagnostiky. </w:t>
            </w:r>
          </w:p>
          <w:p w14:paraId="58DE57D9" w14:textId="77777777" w:rsidR="00814346" w:rsidRPr="003D55D7" w:rsidRDefault="00814346" w:rsidP="00CA0889">
            <w:pPr>
              <w:numPr>
                <w:ilvl w:val="0"/>
                <w:numId w:val="4"/>
              </w:numPr>
              <w:spacing w:after="160" w:line="259" w:lineRule="auto"/>
              <w:ind w:right="282"/>
              <w:contextualSpacing/>
              <w:rPr>
                <w:rFonts w:cstheme="minorHAnsi"/>
                <w:sz w:val="16"/>
                <w:szCs w:val="16"/>
              </w:rPr>
            </w:pPr>
            <w:r w:rsidRPr="003D55D7">
              <w:rPr>
                <w:rFonts w:cstheme="minorHAnsi"/>
                <w:sz w:val="16"/>
                <w:szCs w:val="16"/>
              </w:rPr>
              <w:t>Rozhovor, anamnéza, pozorovanie, ako základ psychologického vyšetrenia.</w:t>
            </w:r>
          </w:p>
          <w:p w14:paraId="64DD0D73" w14:textId="77777777" w:rsidR="00814346" w:rsidRPr="003D55D7" w:rsidRDefault="00814346" w:rsidP="00CA0889">
            <w:pPr>
              <w:numPr>
                <w:ilvl w:val="0"/>
                <w:numId w:val="4"/>
              </w:numPr>
              <w:spacing w:after="160" w:line="259" w:lineRule="auto"/>
              <w:ind w:right="282"/>
              <w:contextualSpacing/>
              <w:rPr>
                <w:rFonts w:cstheme="minorHAnsi"/>
                <w:sz w:val="16"/>
                <w:szCs w:val="16"/>
              </w:rPr>
            </w:pPr>
            <w:r w:rsidRPr="003D55D7">
              <w:rPr>
                <w:rFonts w:cstheme="minorHAnsi"/>
                <w:sz w:val="16"/>
                <w:szCs w:val="16"/>
              </w:rPr>
              <w:t>Zásady práce so psychodiagnostickými metódami, základné psychometrické vlastnosti metód,  rozdelenie a klasifikácia metód,  základné klasifikačné kritériá, tvorba dotazníka, štandardizácia metód.</w:t>
            </w:r>
          </w:p>
          <w:p w14:paraId="0F59EB04" w14:textId="77777777" w:rsidR="00814346" w:rsidRPr="003D55D7" w:rsidRDefault="00814346" w:rsidP="00CA088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right="282"/>
              <w:contextualSpacing/>
              <w:rPr>
                <w:rFonts w:cstheme="minorHAnsi"/>
                <w:sz w:val="16"/>
                <w:szCs w:val="16"/>
              </w:rPr>
            </w:pPr>
            <w:r w:rsidRPr="003D55D7">
              <w:rPr>
                <w:rFonts w:cstheme="minorHAnsi"/>
                <w:sz w:val="16"/>
                <w:szCs w:val="16"/>
              </w:rPr>
              <w:t>Možnosti použitia základných psdg. metód (dotazníkové metódy, testové metódy, so zameraním na osobnosť).</w:t>
            </w:r>
          </w:p>
          <w:p w14:paraId="0799C40F" w14:textId="77777777" w:rsidR="00814346" w:rsidRPr="003D55D7" w:rsidRDefault="00814346" w:rsidP="00CA0889">
            <w:pPr>
              <w:numPr>
                <w:ilvl w:val="0"/>
                <w:numId w:val="4"/>
              </w:numPr>
              <w:spacing w:after="160" w:line="259" w:lineRule="auto"/>
              <w:ind w:right="282"/>
              <w:contextualSpacing/>
              <w:rPr>
                <w:rFonts w:cstheme="minorHAnsi"/>
                <w:sz w:val="16"/>
                <w:szCs w:val="16"/>
              </w:rPr>
            </w:pPr>
            <w:r w:rsidRPr="003D55D7">
              <w:rPr>
                <w:rFonts w:cstheme="minorHAnsi"/>
                <w:sz w:val="16"/>
                <w:szCs w:val="16"/>
              </w:rPr>
              <w:t>Psychodiagnostické vyšetrenie emotivity, psychických porúch, psdg. diagnostika  emotivity v psychiatrii.</w:t>
            </w:r>
          </w:p>
          <w:p w14:paraId="3103317E" w14:textId="77777777" w:rsidR="00814346" w:rsidRPr="003D55D7" w:rsidRDefault="00814346" w:rsidP="00CA088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right="282"/>
              <w:contextualSpacing/>
              <w:rPr>
                <w:rFonts w:cstheme="minorHAnsi"/>
                <w:sz w:val="16"/>
                <w:szCs w:val="16"/>
              </w:rPr>
            </w:pPr>
            <w:r w:rsidRPr="003D55D7">
              <w:rPr>
                <w:rFonts w:cstheme="minorHAnsi"/>
                <w:sz w:val="16"/>
                <w:szCs w:val="16"/>
              </w:rPr>
              <w:t>Testové metódy so zameraním na kognitívne a intelektové schopnosti osobnosti. Nekognitívne  charakteristiky</w:t>
            </w:r>
          </w:p>
          <w:p w14:paraId="628E7188" w14:textId="77777777" w:rsidR="00814346" w:rsidRPr="003D55D7" w:rsidRDefault="00814346" w:rsidP="00CA0889">
            <w:pPr>
              <w:autoSpaceDE w:val="0"/>
              <w:autoSpaceDN w:val="0"/>
              <w:adjustRightInd w:val="0"/>
              <w:spacing w:after="160" w:line="259" w:lineRule="auto"/>
              <w:ind w:left="720" w:right="282"/>
              <w:contextualSpacing/>
              <w:rPr>
                <w:rFonts w:cstheme="minorHAnsi"/>
                <w:sz w:val="16"/>
                <w:szCs w:val="16"/>
              </w:rPr>
            </w:pPr>
            <w:r w:rsidRPr="003D55D7">
              <w:rPr>
                <w:rFonts w:cstheme="minorHAnsi"/>
                <w:sz w:val="16"/>
                <w:szCs w:val="16"/>
              </w:rPr>
              <w:t xml:space="preserve">osobnosti. </w:t>
            </w:r>
          </w:p>
          <w:p w14:paraId="0DA6688B" w14:textId="77777777" w:rsidR="00814346" w:rsidRPr="003D55D7" w:rsidRDefault="00814346" w:rsidP="00CA0889">
            <w:pPr>
              <w:numPr>
                <w:ilvl w:val="0"/>
                <w:numId w:val="4"/>
              </w:numPr>
              <w:spacing w:after="160" w:line="259" w:lineRule="auto"/>
              <w:ind w:right="282"/>
              <w:contextualSpacing/>
              <w:rPr>
                <w:rFonts w:cstheme="minorHAnsi"/>
                <w:sz w:val="16"/>
                <w:szCs w:val="16"/>
              </w:rPr>
            </w:pPr>
            <w:r w:rsidRPr="003D55D7">
              <w:rPr>
                <w:rFonts w:cstheme="minorHAnsi"/>
                <w:sz w:val="16"/>
                <w:szCs w:val="16"/>
              </w:rPr>
              <w:t xml:space="preserve">Psychodiagnostika správania a psychických funkcií (testy pozornosti, pamäti, reaktibility, myslenia). </w:t>
            </w:r>
          </w:p>
          <w:p w14:paraId="440552D2" w14:textId="77777777" w:rsidR="00814346" w:rsidRPr="003D55D7" w:rsidRDefault="00814346" w:rsidP="00CA088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right="282"/>
              <w:contextualSpacing/>
              <w:rPr>
                <w:rFonts w:cstheme="minorHAnsi"/>
                <w:sz w:val="16"/>
                <w:szCs w:val="16"/>
              </w:rPr>
            </w:pPr>
            <w:r w:rsidRPr="003D55D7">
              <w:rPr>
                <w:rFonts w:cstheme="minorHAnsi"/>
                <w:sz w:val="16"/>
                <w:szCs w:val="16"/>
              </w:rPr>
              <w:t>Netradičná diagnostika, využitie nešpecifických diagnostických postupov, projektívne metódy, sociometria, a pod.</w:t>
            </w:r>
          </w:p>
          <w:p w14:paraId="1B471038" w14:textId="77777777" w:rsidR="00814346" w:rsidRPr="003D55D7" w:rsidRDefault="00814346" w:rsidP="00CA088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right="282"/>
              <w:contextualSpacing/>
              <w:rPr>
                <w:rFonts w:cstheme="minorHAnsi"/>
                <w:sz w:val="16"/>
                <w:szCs w:val="16"/>
              </w:rPr>
            </w:pPr>
            <w:r w:rsidRPr="003D55D7">
              <w:rPr>
                <w:rFonts w:cstheme="minorHAnsi"/>
                <w:sz w:val="16"/>
                <w:szCs w:val="16"/>
              </w:rPr>
              <w:t xml:space="preserve">Prístrojové metódy v psychodiagnostike, problémy používania počítačov, veb formy testov a  dotazníkov, možná perspektíva psychodiagnostiky.  </w:t>
            </w:r>
          </w:p>
          <w:p w14:paraId="1045E43A" w14:textId="77777777" w:rsidR="00814346" w:rsidRPr="003D55D7" w:rsidRDefault="00814346" w:rsidP="00CA088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right="282"/>
              <w:contextualSpacing/>
              <w:rPr>
                <w:rFonts w:cstheme="minorHAnsi"/>
                <w:sz w:val="16"/>
                <w:szCs w:val="16"/>
              </w:rPr>
            </w:pPr>
            <w:r w:rsidRPr="003D55D7">
              <w:rPr>
                <w:rFonts w:cstheme="minorHAnsi"/>
                <w:sz w:val="16"/>
                <w:szCs w:val="16"/>
              </w:rPr>
              <w:t xml:space="preserve">Stanovenie diagnózy, záverečné hodnotenie vyšetrenia, psychologický posudok, forma. </w:t>
            </w:r>
          </w:p>
          <w:p w14:paraId="64513B2B" w14:textId="77777777" w:rsidR="00814346" w:rsidRPr="003D55D7" w:rsidRDefault="00814346" w:rsidP="00CA0889">
            <w:pPr>
              <w:numPr>
                <w:ilvl w:val="0"/>
                <w:numId w:val="4"/>
              </w:numPr>
              <w:spacing w:after="160" w:line="259" w:lineRule="auto"/>
              <w:ind w:right="282"/>
              <w:contextualSpacing/>
              <w:rPr>
                <w:rFonts w:cstheme="minorHAnsi"/>
                <w:sz w:val="16"/>
                <w:szCs w:val="16"/>
              </w:rPr>
            </w:pPr>
            <w:r w:rsidRPr="003D55D7">
              <w:rPr>
                <w:rFonts w:cstheme="minorHAnsi"/>
                <w:sz w:val="16"/>
                <w:szCs w:val="16"/>
              </w:rPr>
              <w:t>Ciele diagnostickej činnosti, etické zásady práce s psychodiagnostickými metódamia a technikami,  aplikačné oblasti psychodiagnostiky.</w:t>
            </w:r>
          </w:p>
          <w:p w14:paraId="1B57C002" w14:textId="77777777" w:rsidR="00814346" w:rsidRPr="003D55D7" w:rsidRDefault="00814346" w:rsidP="00CA0889">
            <w:pPr>
              <w:spacing w:after="160" w:line="259" w:lineRule="auto"/>
              <w:ind w:left="720" w:right="282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814346" w:rsidRPr="00981701" w14:paraId="6AB693C6" w14:textId="77777777" w:rsidTr="00CA0889">
        <w:trPr>
          <w:trHeight w:val="699"/>
        </w:trPr>
        <w:tc>
          <w:tcPr>
            <w:tcW w:w="9214" w:type="dxa"/>
            <w:gridSpan w:val="2"/>
          </w:tcPr>
          <w:p w14:paraId="5EC3AD6E" w14:textId="77777777" w:rsidR="00814346" w:rsidRPr="003D55D7" w:rsidRDefault="00814346" w:rsidP="00CA0889">
            <w:pPr>
              <w:spacing w:after="160" w:line="259" w:lineRule="auto"/>
              <w:ind w:left="0"/>
              <w:rPr>
                <w:rFonts w:eastAsia="Calibri" w:cstheme="minorHAnsi"/>
                <w:b/>
                <w:sz w:val="16"/>
                <w:szCs w:val="16"/>
              </w:rPr>
            </w:pPr>
            <w:r w:rsidRPr="003D55D7">
              <w:rPr>
                <w:rFonts w:eastAsia="Calibri" w:cstheme="minorHAnsi"/>
                <w:b/>
                <w:sz w:val="16"/>
                <w:szCs w:val="16"/>
              </w:rPr>
              <w:t xml:space="preserve"> Odporúčaná</w:t>
            </w:r>
            <w:r w:rsidRPr="003D55D7">
              <w:rPr>
                <w:rFonts w:eastAsia="Calibr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3D55D7">
              <w:rPr>
                <w:rFonts w:eastAsia="Calibri" w:cstheme="minorHAnsi"/>
                <w:b/>
                <w:sz w:val="16"/>
                <w:szCs w:val="16"/>
              </w:rPr>
              <w:t>literatúra:</w:t>
            </w:r>
          </w:p>
          <w:p w14:paraId="13E13EEA" w14:textId="77777777" w:rsidR="00814346" w:rsidRPr="003D55D7" w:rsidRDefault="00814346" w:rsidP="00CA0889">
            <w:pPr>
              <w:spacing w:after="160" w:line="259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3D55D7">
              <w:rPr>
                <w:rFonts w:eastAsia="Calibri" w:cstheme="minorHAnsi"/>
                <w:bCs/>
                <w:sz w:val="16"/>
                <w:szCs w:val="16"/>
              </w:rPr>
              <w:t>Humpolíček, P.,  Šnorek, V., Svoboda, M., 2022, Psychodiagnostika dospělých, 2. vydání, Portál.</w:t>
            </w:r>
          </w:p>
          <w:p w14:paraId="43374457" w14:textId="77777777" w:rsidR="00814346" w:rsidRPr="003D55D7" w:rsidRDefault="00814346" w:rsidP="00CA0889">
            <w:pPr>
              <w:spacing w:after="160" w:line="259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3D55D7">
              <w:rPr>
                <w:rFonts w:eastAsia="Calibri" w:cstheme="minorHAnsi"/>
                <w:bCs/>
                <w:sz w:val="16"/>
                <w:szCs w:val="16"/>
              </w:rPr>
              <w:t>Krejčířová D., Svoboda M., Vagnerová M., 2021, Psychodiagnostika dětí a dospívajících, Portál.</w:t>
            </w:r>
          </w:p>
          <w:p w14:paraId="3A459353" w14:textId="77777777" w:rsidR="00814346" w:rsidRPr="003D55D7" w:rsidRDefault="00814346" w:rsidP="00CA0889">
            <w:pPr>
              <w:spacing w:after="160" w:line="259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3D55D7">
              <w:rPr>
                <w:rFonts w:cstheme="minorHAnsi"/>
                <w:sz w:val="16"/>
                <w:szCs w:val="16"/>
              </w:rPr>
              <w:t>Svoboda, M. a kol., 2013, Psychologická diagnostika dospělých. Portál.</w:t>
            </w:r>
          </w:p>
          <w:p w14:paraId="1A31A934" w14:textId="77777777" w:rsidR="00814346" w:rsidRPr="003D55D7" w:rsidRDefault="00814346" w:rsidP="00CA0889">
            <w:pPr>
              <w:spacing w:after="160" w:line="259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3D55D7">
              <w:rPr>
                <w:rFonts w:cstheme="minorHAnsi"/>
                <w:sz w:val="16"/>
                <w:szCs w:val="16"/>
              </w:rPr>
              <w:t>Halama, P., 2011, Princípy psychologickej diagnostiky. Trnavská univerzita.</w:t>
            </w:r>
          </w:p>
          <w:p w14:paraId="7E34DF64" w14:textId="77777777" w:rsidR="00814346" w:rsidRPr="003D55D7" w:rsidRDefault="00814346" w:rsidP="00CA0889">
            <w:pPr>
              <w:spacing w:after="160" w:line="259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3D55D7">
              <w:rPr>
                <w:rFonts w:cstheme="minorHAnsi"/>
                <w:sz w:val="16"/>
                <w:szCs w:val="16"/>
              </w:rPr>
              <w:t>Urbánek, T. a kol., 2011, Psychometrika, měření v psychologii. Portál.</w:t>
            </w:r>
          </w:p>
          <w:p w14:paraId="4D6B05AD" w14:textId="77777777" w:rsidR="00814346" w:rsidRPr="003D55D7" w:rsidRDefault="00814346" w:rsidP="00CA0889">
            <w:pPr>
              <w:spacing w:after="160" w:line="259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3D55D7">
              <w:rPr>
                <w:rFonts w:cstheme="minorHAnsi"/>
                <w:sz w:val="16"/>
                <w:szCs w:val="16"/>
              </w:rPr>
              <w:t xml:space="preserve">Šnýdrová, I., 2008, Psychodiagnostika, Grada. </w:t>
            </w:r>
          </w:p>
          <w:p w14:paraId="1DC58B8D" w14:textId="77777777" w:rsidR="00814346" w:rsidRPr="003D55D7" w:rsidRDefault="00814346" w:rsidP="00CA0889">
            <w:pPr>
              <w:spacing w:after="160" w:line="259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3D55D7">
              <w:rPr>
                <w:rFonts w:cstheme="minorHAnsi"/>
                <w:sz w:val="16"/>
                <w:szCs w:val="16"/>
              </w:rPr>
              <w:t xml:space="preserve">Stančák, A., 1996, Klinická psychodiagnostika dospelých. Psych.dg a did.testy., Ba. </w:t>
            </w:r>
          </w:p>
          <w:p w14:paraId="3E87618F" w14:textId="77777777" w:rsidR="00814346" w:rsidRPr="003D55D7" w:rsidRDefault="00814346" w:rsidP="00CA0889">
            <w:pPr>
              <w:spacing w:after="160" w:line="259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3D55D7">
              <w:rPr>
                <w:rFonts w:eastAsia="Calibri" w:cstheme="minorHAnsi"/>
                <w:bCs/>
                <w:sz w:val="16"/>
                <w:szCs w:val="16"/>
              </w:rPr>
              <w:t xml:space="preserve">Kondáš, O., 1992, </w:t>
            </w:r>
            <w:r w:rsidRPr="003D55D7">
              <w:rPr>
                <w:rFonts w:cstheme="minorHAnsi"/>
                <w:sz w:val="16"/>
                <w:szCs w:val="16"/>
              </w:rPr>
              <w:t xml:space="preserve">Psychodiagnostika dospelých, Osveta BA. </w:t>
            </w:r>
          </w:p>
        </w:tc>
      </w:tr>
      <w:tr w:rsidR="00814346" w:rsidRPr="00981701" w14:paraId="0AE4AB9D" w14:textId="77777777" w:rsidTr="00CA0889">
        <w:trPr>
          <w:trHeight w:val="272"/>
        </w:trPr>
        <w:tc>
          <w:tcPr>
            <w:tcW w:w="9214" w:type="dxa"/>
            <w:gridSpan w:val="2"/>
          </w:tcPr>
          <w:p w14:paraId="794FF130" w14:textId="77777777" w:rsidR="00814346" w:rsidRPr="003D55D7" w:rsidRDefault="00814346" w:rsidP="00CA0889">
            <w:pPr>
              <w:spacing w:after="160" w:line="259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3D55D7">
              <w:rPr>
                <w:rFonts w:eastAsia="Calibri" w:cstheme="minorHAnsi"/>
                <w:b/>
                <w:sz w:val="16"/>
                <w:szCs w:val="16"/>
              </w:rPr>
              <w:t>Jazyk, ktorého znalosť je potrebná na absolvovanie predmetu:</w:t>
            </w:r>
            <w:r w:rsidRPr="003D55D7">
              <w:rPr>
                <w:rFonts w:eastAsia="Calibri" w:cstheme="minorHAnsi"/>
                <w:sz w:val="16"/>
                <w:szCs w:val="16"/>
              </w:rPr>
              <w:t xml:space="preserve"> slovenský jazyk</w:t>
            </w:r>
          </w:p>
        </w:tc>
      </w:tr>
      <w:tr w:rsidR="00814346" w:rsidRPr="00981701" w14:paraId="4AAF1F48" w14:textId="77777777" w:rsidTr="00CA0889">
        <w:trPr>
          <w:trHeight w:val="272"/>
        </w:trPr>
        <w:tc>
          <w:tcPr>
            <w:tcW w:w="9214" w:type="dxa"/>
            <w:gridSpan w:val="2"/>
          </w:tcPr>
          <w:p w14:paraId="01984C2E" w14:textId="77777777" w:rsidR="00814346" w:rsidRPr="003D55D7" w:rsidRDefault="00814346" w:rsidP="00CA0889">
            <w:pPr>
              <w:spacing w:after="160" w:line="259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3D55D7">
              <w:rPr>
                <w:rFonts w:eastAsia="Calibri" w:cstheme="minorHAnsi"/>
                <w:b/>
                <w:sz w:val="16"/>
                <w:szCs w:val="16"/>
              </w:rPr>
              <w:t>Poznámky:</w:t>
            </w:r>
            <w:r w:rsidRPr="003D55D7">
              <w:rPr>
                <w:rFonts w:eastAsia="Calibri" w:cstheme="minorHAnsi"/>
                <w:sz w:val="16"/>
                <w:szCs w:val="16"/>
              </w:rPr>
              <w:t xml:space="preserve">  povinný predmet</w:t>
            </w:r>
          </w:p>
        </w:tc>
      </w:tr>
      <w:tr w:rsidR="00814346" w:rsidRPr="00981701" w14:paraId="40244F68" w14:textId="77777777" w:rsidTr="00CA0889">
        <w:trPr>
          <w:trHeight w:val="272"/>
        </w:trPr>
        <w:tc>
          <w:tcPr>
            <w:tcW w:w="9214" w:type="dxa"/>
            <w:gridSpan w:val="2"/>
          </w:tcPr>
          <w:p w14:paraId="3B4FEB31" w14:textId="77777777" w:rsidR="00814346" w:rsidRPr="003D55D7" w:rsidRDefault="00814346" w:rsidP="00CA0889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3D55D7">
              <w:rPr>
                <w:rFonts w:eastAsia="Calibri" w:cstheme="minorHAnsi"/>
                <w:b/>
                <w:sz w:val="16"/>
                <w:szCs w:val="16"/>
              </w:rPr>
              <w:t xml:space="preserve">Hodnotenie predmetov </w:t>
            </w:r>
          </w:p>
          <w:p w14:paraId="03FE9A89" w14:textId="77777777" w:rsidR="00814346" w:rsidRPr="003D55D7" w:rsidRDefault="00814346" w:rsidP="00CA0889">
            <w:pPr>
              <w:rPr>
                <w:rFonts w:eastAsia="Calibri" w:cstheme="minorHAnsi"/>
                <w:sz w:val="16"/>
                <w:szCs w:val="16"/>
              </w:rPr>
            </w:pPr>
            <w:r w:rsidRPr="003D55D7">
              <w:rPr>
                <w:rFonts w:eastAsia="Calibri" w:cstheme="minorHAnsi"/>
                <w:sz w:val="16"/>
                <w:szCs w:val="16"/>
              </w:rPr>
              <w:t xml:space="preserve">Celkový počet hodnotených študentov: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814346" w:rsidRPr="003D55D7" w14:paraId="0689DC2D" w14:textId="77777777" w:rsidTr="00CA0889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B242D" w14:textId="77777777" w:rsidR="00814346" w:rsidRPr="003D55D7" w:rsidRDefault="00814346" w:rsidP="00CA0889">
                  <w:pPr>
                    <w:jc w:val="both"/>
                    <w:rPr>
                      <w:rFonts w:eastAsia="Calibri" w:cstheme="minorHAnsi"/>
                      <w:kern w:val="0"/>
                      <w:sz w:val="16"/>
                      <w:szCs w:val="16"/>
                      <w14:ligatures w14:val="none"/>
                    </w:rPr>
                  </w:pPr>
                  <w:r w:rsidRPr="003D55D7">
                    <w:rPr>
                      <w:rFonts w:eastAsia="Calibri" w:cstheme="minorHAnsi"/>
                      <w:kern w:val="0"/>
                      <w:sz w:val="16"/>
                      <w:szCs w:val="16"/>
                      <w14:ligatures w14:val="none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7CB35" w14:textId="77777777" w:rsidR="00814346" w:rsidRPr="003D55D7" w:rsidRDefault="00814346" w:rsidP="00CA0889">
                  <w:pPr>
                    <w:jc w:val="both"/>
                    <w:rPr>
                      <w:rFonts w:eastAsia="Calibri" w:cstheme="minorHAnsi"/>
                      <w:kern w:val="0"/>
                      <w:sz w:val="16"/>
                      <w:szCs w:val="16"/>
                      <w14:ligatures w14:val="none"/>
                    </w:rPr>
                  </w:pPr>
                  <w:r w:rsidRPr="003D55D7">
                    <w:rPr>
                      <w:rFonts w:eastAsia="Calibri" w:cstheme="minorHAnsi"/>
                      <w:kern w:val="0"/>
                      <w:sz w:val="16"/>
                      <w:szCs w:val="16"/>
                      <w14:ligatures w14:val="none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B8991" w14:textId="77777777" w:rsidR="00814346" w:rsidRPr="003D55D7" w:rsidRDefault="00814346" w:rsidP="00CA0889">
                  <w:pPr>
                    <w:jc w:val="both"/>
                    <w:rPr>
                      <w:rFonts w:eastAsia="Calibri" w:cstheme="minorHAnsi"/>
                      <w:kern w:val="0"/>
                      <w:sz w:val="16"/>
                      <w:szCs w:val="16"/>
                      <w14:ligatures w14:val="none"/>
                    </w:rPr>
                  </w:pPr>
                  <w:r w:rsidRPr="003D55D7">
                    <w:rPr>
                      <w:rFonts w:eastAsia="Calibri" w:cstheme="minorHAnsi"/>
                      <w:kern w:val="0"/>
                      <w:sz w:val="16"/>
                      <w:szCs w:val="16"/>
                      <w14:ligatures w14:val="none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96D4D" w14:textId="77777777" w:rsidR="00814346" w:rsidRPr="003D55D7" w:rsidRDefault="00814346" w:rsidP="00CA0889">
                  <w:pPr>
                    <w:jc w:val="both"/>
                    <w:rPr>
                      <w:rFonts w:eastAsia="Calibri" w:cstheme="minorHAnsi"/>
                      <w:kern w:val="0"/>
                      <w:sz w:val="16"/>
                      <w:szCs w:val="16"/>
                      <w14:ligatures w14:val="none"/>
                    </w:rPr>
                  </w:pPr>
                  <w:r w:rsidRPr="003D55D7">
                    <w:rPr>
                      <w:rFonts w:eastAsia="Calibri" w:cstheme="minorHAnsi"/>
                      <w:kern w:val="0"/>
                      <w:sz w:val="16"/>
                      <w:szCs w:val="16"/>
                      <w14:ligatures w14:val="none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2CC7C" w14:textId="77777777" w:rsidR="00814346" w:rsidRPr="003D55D7" w:rsidRDefault="00814346" w:rsidP="00CA0889">
                  <w:pPr>
                    <w:jc w:val="both"/>
                    <w:rPr>
                      <w:rFonts w:eastAsia="Calibri" w:cstheme="minorHAnsi"/>
                      <w:kern w:val="0"/>
                      <w:sz w:val="16"/>
                      <w:szCs w:val="16"/>
                      <w14:ligatures w14:val="none"/>
                    </w:rPr>
                  </w:pPr>
                  <w:r w:rsidRPr="003D55D7">
                    <w:rPr>
                      <w:rFonts w:eastAsia="Calibri" w:cstheme="minorHAnsi"/>
                      <w:kern w:val="0"/>
                      <w:sz w:val="16"/>
                      <w:szCs w:val="16"/>
                      <w14:ligatures w14:val="none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B7CA7" w14:textId="77777777" w:rsidR="00814346" w:rsidRPr="003D55D7" w:rsidRDefault="00814346" w:rsidP="00CA0889">
                  <w:pPr>
                    <w:jc w:val="both"/>
                    <w:rPr>
                      <w:rFonts w:eastAsia="Calibri" w:cstheme="minorHAnsi"/>
                      <w:kern w:val="0"/>
                      <w:sz w:val="16"/>
                      <w:szCs w:val="16"/>
                      <w14:ligatures w14:val="none"/>
                    </w:rPr>
                  </w:pPr>
                  <w:r w:rsidRPr="003D55D7">
                    <w:rPr>
                      <w:rFonts w:eastAsia="Calibri" w:cstheme="minorHAnsi"/>
                      <w:kern w:val="0"/>
                      <w:sz w:val="16"/>
                      <w:szCs w:val="16"/>
                      <w14:ligatures w14:val="none"/>
                    </w:rPr>
                    <w:t>FX</w:t>
                  </w:r>
                </w:p>
              </w:tc>
            </w:tr>
            <w:tr w:rsidR="00814346" w:rsidRPr="003D55D7" w14:paraId="7E111BFB" w14:textId="77777777" w:rsidTr="00CA0889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06517" w14:textId="77777777" w:rsidR="00814346" w:rsidRPr="003D55D7" w:rsidRDefault="00814346" w:rsidP="00CA0889">
                  <w:pPr>
                    <w:jc w:val="both"/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14:ligatures w14:val="none"/>
                    </w:rPr>
                  </w:pPr>
                  <w:r w:rsidRPr="003D55D7"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14:ligatures w14:val="none"/>
                    </w:rPr>
                    <w:t>9%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30CC7" w14:textId="77777777" w:rsidR="00814346" w:rsidRPr="003D55D7" w:rsidRDefault="00814346" w:rsidP="00CA0889">
                  <w:pPr>
                    <w:jc w:val="both"/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14:ligatures w14:val="none"/>
                    </w:rPr>
                  </w:pPr>
                  <w:r w:rsidRPr="003D55D7"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14:ligatures w14:val="none"/>
                    </w:rPr>
                    <w:t>25%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E1E02" w14:textId="77777777" w:rsidR="00814346" w:rsidRPr="003D55D7" w:rsidRDefault="00814346" w:rsidP="00CA0889">
                  <w:pPr>
                    <w:jc w:val="both"/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14:ligatures w14:val="none"/>
                    </w:rPr>
                  </w:pPr>
                  <w:r w:rsidRPr="003D55D7"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14:ligatures w14:val="none"/>
                    </w:rPr>
                    <w:t>45%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22C42" w14:textId="77777777" w:rsidR="00814346" w:rsidRPr="003D55D7" w:rsidRDefault="00814346" w:rsidP="00CA0889">
                  <w:pPr>
                    <w:jc w:val="both"/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14:ligatures w14:val="none"/>
                    </w:rPr>
                  </w:pPr>
                  <w:r w:rsidRPr="003D55D7"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14:ligatures w14:val="none"/>
                    </w:rPr>
                    <w:t>13%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8D1CB" w14:textId="77777777" w:rsidR="00814346" w:rsidRPr="003D55D7" w:rsidRDefault="00814346" w:rsidP="00CA0889">
                  <w:pPr>
                    <w:jc w:val="both"/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14:ligatures w14:val="none"/>
                    </w:rPr>
                  </w:pPr>
                  <w:r w:rsidRPr="003D55D7"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14:ligatures w14:val="none"/>
                    </w:rPr>
                    <w:t>8%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52F38" w14:textId="77777777" w:rsidR="00814346" w:rsidRPr="003D55D7" w:rsidRDefault="00814346" w:rsidP="00CA0889">
                  <w:pPr>
                    <w:jc w:val="both"/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14:ligatures w14:val="none"/>
                    </w:rPr>
                  </w:pPr>
                  <w:r w:rsidRPr="003D55D7">
                    <w:rPr>
                      <w:rFonts w:eastAsia="Calibri" w:cstheme="minorHAnsi"/>
                      <w:bCs/>
                      <w:kern w:val="0"/>
                      <w:sz w:val="16"/>
                      <w:szCs w:val="16"/>
                      <w14:ligatures w14:val="none"/>
                    </w:rPr>
                    <w:t>0%</w:t>
                  </w:r>
                </w:p>
              </w:tc>
            </w:tr>
          </w:tbl>
          <w:p w14:paraId="716B6591" w14:textId="77777777" w:rsidR="00814346" w:rsidRPr="003D55D7" w:rsidRDefault="00814346" w:rsidP="00CA0889">
            <w:pPr>
              <w:ind w:left="0"/>
              <w:rPr>
                <w:rFonts w:eastAsia="Calibri" w:cstheme="minorHAnsi"/>
                <w:b/>
                <w:sz w:val="16"/>
                <w:szCs w:val="16"/>
              </w:rPr>
            </w:pPr>
          </w:p>
        </w:tc>
      </w:tr>
      <w:tr w:rsidR="00814346" w:rsidRPr="00981701" w14:paraId="476F0EF4" w14:textId="77777777" w:rsidTr="00CA0889">
        <w:trPr>
          <w:trHeight w:val="272"/>
        </w:trPr>
        <w:tc>
          <w:tcPr>
            <w:tcW w:w="9214" w:type="dxa"/>
            <w:gridSpan w:val="2"/>
          </w:tcPr>
          <w:p w14:paraId="4C0719A1" w14:textId="77777777" w:rsidR="00814346" w:rsidRPr="003D55D7" w:rsidRDefault="00814346" w:rsidP="00CA0889">
            <w:pPr>
              <w:tabs>
                <w:tab w:val="left" w:pos="1530"/>
              </w:tabs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3D55D7">
              <w:rPr>
                <w:rFonts w:cstheme="minorHAnsi"/>
                <w:b/>
                <w:sz w:val="16"/>
                <w:szCs w:val="16"/>
              </w:rPr>
              <w:t>Vyučujúci:</w:t>
            </w:r>
            <w:r w:rsidRPr="003D55D7">
              <w:rPr>
                <w:rFonts w:cstheme="minorHAnsi"/>
                <w:sz w:val="16"/>
                <w:szCs w:val="16"/>
              </w:rPr>
              <w:t xml:space="preserve"> Doc. Phdr. Eva Šovčíková, PhD, - prednášky + semináre</w:t>
            </w:r>
          </w:p>
        </w:tc>
      </w:tr>
      <w:tr w:rsidR="00814346" w:rsidRPr="00981701" w14:paraId="56A4885F" w14:textId="77777777" w:rsidTr="00CA0889">
        <w:trPr>
          <w:trHeight w:val="272"/>
        </w:trPr>
        <w:tc>
          <w:tcPr>
            <w:tcW w:w="9214" w:type="dxa"/>
            <w:gridSpan w:val="2"/>
          </w:tcPr>
          <w:p w14:paraId="0A9D7BD6" w14:textId="77777777" w:rsidR="00814346" w:rsidRPr="003D55D7" w:rsidRDefault="00814346" w:rsidP="00CA0889">
            <w:pPr>
              <w:spacing w:after="160" w:line="259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3D55D7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Dátum poslednej zmeny: </w:t>
            </w:r>
            <w:r w:rsidRPr="003D55D7">
              <w:rPr>
                <w:rFonts w:eastAsia="Calibri" w:cstheme="minorHAnsi"/>
                <w:color w:val="000000" w:themeColor="text1"/>
                <w:sz w:val="16"/>
                <w:szCs w:val="16"/>
              </w:rPr>
              <w:t>24.08.2023</w:t>
            </w:r>
          </w:p>
        </w:tc>
      </w:tr>
      <w:tr w:rsidR="00814346" w:rsidRPr="00981701" w14:paraId="7486696E" w14:textId="77777777" w:rsidTr="00CA0889">
        <w:trPr>
          <w:trHeight w:val="272"/>
        </w:trPr>
        <w:tc>
          <w:tcPr>
            <w:tcW w:w="9214" w:type="dxa"/>
            <w:gridSpan w:val="2"/>
          </w:tcPr>
          <w:p w14:paraId="0110973B" w14:textId="77777777" w:rsidR="00814346" w:rsidRPr="003D55D7" w:rsidRDefault="00814346" w:rsidP="00CA0889">
            <w:pPr>
              <w:spacing w:after="160" w:line="259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3D55D7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Schválil:  </w:t>
            </w:r>
            <w:r w:rsidRPr="003D55D7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doc. PhDr. Eva Šovčíková, PhD.</w:t>
            </w:r>
          </w:p>
        </w:tc>
      </w:tr>
    </w:tbl>
    <w:p w14:paraId="3AC6E872" w14:textId="77777777" w:rsidR="004A3046" w:rsidRPr="004072DE" w:rsidRDefault="004A3046">
      <w:pPr>
        <w:rPr>
          <w:rFonts w:cstheme="minorHAnsi"/>
          <w:sz w:val="20"/>
          <w:szCs w:val="20"/>
        </w:rPr>
      </w:pPr>
    </w:p>
    <w:sectPr w:rsidR="004A3046" w:rsidRPr="00407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30D7"/>
    <w:multiLevelType w:val="multilevel"/>
    <w:tmpl w:val="E6BE8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2C5272A"/>
    <w:multiLevelType w:val="hybridMultilevel"/>
    <w:tmpl w:val="55EE10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B78AB"/>
    <w:multiLevelType w:val="hybridMultilevel"/>
    <w:tmpl w:val="17F8C990"/>
    <w:lvl w:ilvl="0" w:tplc="32484000">
      <w:numFmt w:val="bullet"/>
      <w:lvlText w:val=""/>
      <w:lvlJc w:val="left"/>
      <w:pPr>
        <w:ind w:left="535" w:hanging="360"/>
      </w:pPr>
      <w:rPr>
        <w:rFonts w:ascii="Symbol" w:eastAsia="Symbol" w:hAnsi="Symbol" w:cs="Symbol" w:hint="default"/>
        <w:w w:val="99"/>
        <w:sz w:val="20"/>
        <w:szCs w:val="20"/>
        <w:lang w:val="sk-SK" w:eastAsia="en-US" w:bidi="ar-SA"/>
      </w:rPr>
    </w:lvl>
    <w:lvl w:ilvl="1" w:tplc="8B6C52AA">
      <w:numFmt w:val="bullet"/>
      <w:lvlText w:val="•"/>
      <w:lvlJc w:val="left"/>
      <w:pPr>
        <w:ind w:left="1417" w:hanging="360"/>
      </w:pPr>
      <w:rPr>
        <w:rFonts w:hint="default"/>
        <w:lang w:val="sk-SK" w:eastAsia="en-US" w:bidi="ar-SA"/>
      </w:rPr>
    </w:lvl>
    <w:lvl w:ilvl="2" w:tplc="DAE066C2">
      <w:numFmt w:val="bullet"/>
      <w:lvlText w:val="•"/>
      <w:lvlJc w:val="left"/>
      <w:pPr>
        <w:ind w:left="2294" w:hanging="360"/>
      </w:pPr>
      <w:rPr>
        <w:rFonts w:hint="default"/>
        <w:lang w:val="sk-SK" w:eastAsia="en-US" w:bidi="ar-SA"/>
      </w:rPr>
    </w:lvl>
    <w:lvl w:ilvl="3" w:tplc="994A396E">
      <w:numFmt w:val="bullet"/>
      <w:lvlText w:val="•"/>
      <w:lvlJc w:val="left"/>
      <w:pPr>
        <w:ind w:left="3171" w:hanging="360"/>
      </w:pPr>
      <w:rPr>
        <w:rFonts w:hint="default"/>
        <w:lang w:val="sk-SK" w:eastAsia="en-US" w:bidi="ar-SA"/>
      </w:rPr>
    </w:lvl>
    <w:lvl w:ilvl="4" w:tplc="BD1C5CF4">
      <w:numFmt w:val="bullet"/>
      <w:lvlText w:val="•"/>
      <w:lvlJc w:val="left"/>
      <w:pPr>
        <w:ind w:left="4049" w:hanging="360"/>
      </w:pPr>
      <w:rPr>
        <w:rFonts w:hint="default"/>
        <w:lang w:val="sk-SK" w:eastAsia="en-US" w:bidi="ar-SA"/>
      </w:rPr>
    </w:lvl>
    <w:lvl w:ilvl="5" w:tplc="9650ED18">
      <w:numFmt w:val="bullet"/>
      <w:lvlText w:val="•"/>
      <w:lvlJc w:val="left"/>
      <w:pPr>
        <w:ind w:left="4926" w:hanging="360"/>
      </w:pPr>
      <w:rPr>
        <w:rFonts w:hint="default"/>
        <w:lang w:val="sk-SK" w:eastAsia="en-US" w:bidi="ar-SA"/>
      </w:rPr>
    </w:lvl>
    <w:lvl w:ilvl="6" w:tplc="6A92BA9E">
      <w:numFmt w:val="bullet"/>
      <w:lvlText w:val="•"/>
      <w:lvlJc w:val="left"/>
      <w:pPr>
        <w:ind w:left="5803" w:hanging="360"/>
      </w:pPr>
      <w:rPr>
        <w:rFonts w:hint="default"/>
        <w:lang w:val="sk-SK" w:eastAsia="en-US" w:bidi="ar-SA"/>
      </w:rPr>
    </w:lvl>
    <w:lvl w:ilvl="7" w:tplc="F06C052A">
      <w:numFmt w:val="bullet"/>
      <w:lvlText w:val="•"/>
      <w:lvlJc w:val="left"/>
      <w:pPr>
        <w:ind w:left="6681" w:hanging="360"/>
      </w:pPr>
      <w:rPr>
        <w:rFonts w:hint="default"/>
        <w:lang w:val="sk-SK" w:eastAsia="en-US" w:bidi="ar-SA"/>
      </w:rPr>
    </w:lvl>
    <w:lvl w:ilvl="8" w:tplc="71F4340E">
      <w:numFmt w:val="bullet"/>
      <w:lvlText w:val="•"/>
      <w:lvlJc w:val="left"/>
      <w:pPr>
        <w:ind w:left="7558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78D553F4"/>
    <w:multiLevelType w:val="hybridMultilevel"/>
    <w:tmpl w:val="FD487330"/>
    <w:lvl w:ilvl="0" w:tplc="32484000">
      <w:numFmt w:val="bullet"/>
      <w:lvlText w:val=""/>
      <w:lvlJc w:val="left"/>
      <w:pPr>
        <w:ind w:left="705" w:hanging="360"/>
      </w:pPr>
      <w:rPr>
        <w:rFonts w:ascii="Symbol" w:eastAsia="Symbol" w:hAnsi="Symbol" w:cs="Symbol" w:hint="default"/>
        <w:w w:val="99"/>
        <w:sz w:val="20"/>
        <w:szCs w:val="20"/>
        <w:lang w:val="sk-SK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483358389">
    <w:abstractNumId w:val="2"/>
  </w:num>
  <w:num w:numId="2" w16cid:durableId="1601642189">
    <w:abstractNumId w:val="0"/>
  </w:num>
  <w:num w:numId="3" w16cid:durableId="612400329">
    <w:abstractNumId w:val="3"/>
  </w:num>
  <w:num w:numId="4" w16cid:durableId="290207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46"/>
    <w:rsid w:val="00003E3D"/>
    <w:rsid w:val="00055085"/>
    <w:rsid w:val="000945B4"/>
    <w:rsid w:val="000A6931"/>
    <w:rsid w:val="00120228"/>
    <w:rsid w:val="00124C3D"/>
    <w:rsid w:val="00176F3D"/>
    <w:rsid w:val="001A302A"/>
    <w:rsid w:val="001C5120"/>
    <w:rsid w:val="001F56C9"/>
    <w:rsid w:val="002C4F96"/>
    <w:rsid w:val="003D55D7"/>
    <w:rsid w:val="004072DE"/>
    <w:rsid w:val="004407B3"/>
    <w:rsid w:val="004A14FE"/>
    <w:rsid w:val="004A3046"/>
    <w:rsid w:val="004A3545"/>
    <w:rsid w:val="004D4EB4"/>
    <w:rsid w:val="0050755B"/>
    <w:rsid w:val="00563E91"/>
    <w:rsid w:val="00586370"/>
    <w:rsid w:val="005C7288"/>
    <w:rsid w:val="006717EB"/>
    <w:rsid w:val="006A3553"/>
    <w:rsid w:val="006F063C"/>
    <w:rsid w:val="00706C3C"/>
    <w:rsid w:val="0071248A"/>
    <w:rsid w:val="00780F22"/>
    <w:rsid w:val="00792C3C"/>
    <w:rsid w:val="00795732"/>
    <w:rsid w:val="00814346"/>
    <w:rsid w:val="00892D19"/>
    <w:rsid w:val="008E79D3"/>
    <w:rsid w:val="00902671"/>
    <w:rsid w:val="00981701"/>
    <w:rsid w:val="009C7C6B"/>
    <w:rsid w:val="00A0715E"/>
    <w:rsid w:val="00A70A36"/>
    <w:rsid w:val="00AA3BC3"/>
    <w:rsid w:val="00AF24A1"/>
    <w:rsid w:val="00B248CE"/>
    <w:rsid w:val="00B433E0"/>
    <w:rsid w:val="00B4396A"/>
    <w:rsid w:val="00B929DA"/>
    <w:rsid w:val="00C921FA"/>
    <w:rsid w:val="00CC4C48"/>
    <w:rsid w:val="00CD3417"/>
    <w:rsid w:val="00D01666"/>
    <w:rsid w:val="00D15380"/>
    <w:rsid w:val="00DF72E5"/>
    <w:rsid w:val="00E83CA1"/>
    <w:rsid w:val="00E84925"/>
    <w:rsid w:val="00F06CA3"/>
    <w:rsid w:val="00F10981"/>
    <w:rsid w:val="00F1548F"/>
    <w:rsid w:val="00FE096F"/>
    <w:rsid w:val="00FF1F21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038F"/>
  <w15:chartTrackingRefBased/>
  <w15:docId w15:val="{98B1BF33-E533-4D8B-99A0-16BF3574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14346"/>
    <w:rPr>
      <w:lang w:val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8637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="Times New Roman"/>
      <w:b/>
      <w:bCs/>
      <w:color w:val="4472C4" w:themeColor="accent1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A3046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1"/>
    <w:qFormat/>
    <w:rsid w:val="004A3046"/>
    <w:pPr>
      <w:spacing w:after="0" w:line="240" w:lineRule="auto"/>
      <w:ind w:left="170"/>
      <w:jc w:val="both"/>
    </w:pPr>
    <w:rPr>
      <w:rFonts w:ascii="Calibri" w:eastAsia="Calibri" w:hAnsi="Calibri" w:cs="Calibri"/>
      <w:kern w:val="0"/>
      <w:sz w:val="18"/>
      <w:szCs w:val="18"/>
      <w14:ligatures w14:val="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4A3046"/>
    <w:rPr>
      <w:rFonts w:ascii="Calibri" w:eastAsia="Calibri" w:hAnsi="Calibri" w:cs="Calibri"/>
      <w:kern w:val="0"/>
      <w:sz w:val="18"/>
      <w:szCs w:val="18"/>
      <w:lang w:val="sk-SK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A3046"/>
    <w:pPr>
      <w:spacing w:after="0" w:line="240" w:lineRule="auto"/>
      <w:ind w:left="170"/>
      <w:jc w:val="both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4A3046"/>
    <w:pPr>
      <w:spacing w:after="0" w:line="240" w:lineRule="auto"/>
      <w:ind w:left="107"/>
      <w:jc w:val="both"/>
    </w:pPr>
    <w:rPr>
      <w:rFonts w:ascii="Calibri" w:eastAsia="Calibri" w:hAnsi="Calibri" w:cs="Calibri"/>
      <w:kern w:val="0"/>
      <w14:ligatures w14:val="none"/>
    </w:rPr>
  </w:style>
  <w:style w:type="paragraph" w:styleId="Odsekzoznamu">
    <w:name w:val="List Paragraph"/>
    <w:basedOn w:val="Normlny"/>
    <w:uiPriority w:val="34"/>
    <w:qFormat/>
    <w:rsid w:val="00902671"/>
    <w:pPr>
      <w:ind w:left="720"/>
      <w:contextualSpacing/>
    </w:pPr>
    <w:rPr>
      <w:lang w:val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86370"/>
    <w:rPr>
      <w:rFonts w:asciiTheme="majorHAnsi" w:eastAsiaTheme="majorEastAsia" w:hAnsiTheme="majorHAnsi" w:cs="Times New Roman"/>
      <w:b/>
      <w:bCs/>
      <w:color w:val="4472C4" w:themeColor="accent1"/>
      <w:kern w:val="0"/>
      <w:lang w:val="sk-SK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50755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0755B"/>
    <w:pPr>
      <w:spacing w:line="240" w:lineRule="auto"/>
    </w:pPr>
    <w:rPr>
      <w:sz w:val="20"/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0755B"/>
    <w:rPr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0755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0755B"/>
    <w:rPr>
      <w:b/>
      <w:bCs/>
      <w:sz w:val="20"/>
      <w:szCs w:val="20"/>
      <w:lang w:val="en-US"/>
    </w:rPr>
  </w:style>
  <w:style w:type="table" w:customStyle="1" w:styleId="Mriekatabuky7">
    <w:name w:val="Mriežka tabuľky7"/>
    <w:basedOn w:val="Normlnatabuka"/>
    <w:next w:val="Mriekatabuky"/>
    <w:uiPriority w:val="39"/>
    <w:rsid w:val="000945B4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Šovčíková</dc:creator>
  <cp:keywords/>
  <dc:description/>
  <cp:lastModifiedBy>Sona Rossi</cp:lastModifiedBy>
  <cp:revision>36</cp:revision>
  <dcterms:created xsi:type="dcterms:W3CDTF">2023-08-25T21:10:00Z</dcterms:created>
  <dcterms:modified xsi:type="dcterms:W3CDTF">2023-09-18T08:41:00Z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aeba881e3523f7ceea92f50373ea111587113173b35af5900b0c88e422666adf</vt:lpwstr>
  </property>
</Properties>
</file>